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bookmarkStart w:id="0" w:name="_GoBack"/>
            <w:bookmarkEnd w:id="0"/>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E646AB" w:rsidP="00875196">
            <w:pPr>
              <w:pStyle w:val="Title"/>
              <w:jc w:val="left"/>
              <w:rPr>
                <w:b/>
              </w:rPr>
            </w:pPr>
            <w:r>
              <w:rPr>
                <w:b/>
              </w:rPr>
              <w:t>18MS3043</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591CF9" w:rsidP="00875196">
            <w:pPr>
              <w:pStyle w:val="Title"/>
              <w:jc w:val="left"/>
              <w:rPr>
                <w:b/>
              </w:rPr>
            </w:pPr>
            <w:r>
              <w:rPr>
                <w:b/>
              </w:rPr>
              <w:t>FREIGHT TRANSPORT MANAGEMENT</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30"/>
        <w:gridCol w:w="720"/>
        <w:gridCol w:w="7110"/>
        <w:gridCol w:w="1170"/>
        <w:gridCol w:w="950"/>
      </w:tblGrid>
      <w:tr w:rsidR="008C7BA2" w:rsidRPr="004725CA" w:rsidTr="00A223BF">
        <w:trPr>
          <w:trHeight w:val="132"/>
        </w:trPr>
        <w:tc>
          <w:tcPr>
            <w:tcW w:w="630" w:type="dxa"/>
            <w:shd w:val="clear" w:color="auto" w:fill="auto"/>
          </w:tcPr>
          <w:p w:rsidR="008C7BA2" w:rsidRPr="008C7BA2" w:rsidRDefault="008C7BA2" w:rsidP="008C7BA2">
            <w:pPr>
              <w:jc w:val="center"/>
              <w:rPr>
                <w:b/>
              </w:rPr>
            </w:pPr>
            <w:r w:rsidRPr="008C7BA2">
              <w:rPr>
                <w:b/>
              </w:rPr>
              <w:t>Q. No.</w:t>
            </w:r>
          </w:p>
        </w:tc>
        <w:tc>
          <w:tcPr>
            <w:tcW w:w="720" w:type="dxa"/>
            <w:shd w:val="clear" w:color="auto" w:fill="auto"/>
          </w:tcPr>
          <w:p w:rsidR="008C7BA2" w:rsidRPr="008C7BA2" w:rsidRDefault="008C7BA2" w:rsidP="008C7BA2">
            <w:pPr>
              <w:jc w:val="center"/>
              <w:rPr>
                <w:b/>
              </w:rPr>
            </w:pPr>
            <w:r w:rsidRPr="008C7BA2">
              <w:rPr>
                <w:b/>
              </w:rPr>
              <w:t>Sub Div.</w:t>
            </w:r>
          </w:p>
        </w:tc>
        <w:tc>
          <w:tcPr>
            <w:tcW w:w="71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vAlign w:val="center"/>
          </w:tcPr>
          <w:p w:rsidR="008C7BA2" w:rsidRPr="008C7BA2" w:rsidRDefault="008C7BA2" w:rsidP="00383EFB">
            <w:pPr>
              <w:jc w:val="center"/>
              <w:rPr>
                <w:b/>
              </w:rPr>
            </w:pPr>
            <w:r w:rsidRPr="008C7BA2">
              <w:rPr>
                <w:b/>
              </w:rPr>
              <w:t>Course</w:t>
            </w:r>
          </w:p>
          <w:p w:rsidR="008C7BA2" w:rsidRPr="008C7BA2" w:rsidRDefault="008C7BA2" w:rsidP="00383EFB">
            <w:pPr>
              <w:jc w:val="center"/>
              <w:rPr>
                <w:b/>
              </w:rPr>
            </w:pPr>
            <w:r w:rsidRPr="008C7BA2">
              <w:rPr>
                <w:b/>
              </w:rPr>
              <w:t>Outcome</w:t>
            </w:r>
          </w:p>
        </w:tc>
        <w:tc>
          <w:tcPr>
            <w:tcW w:w="950" w:type="dxa"/>
            <w:shd w:val="clear" w:color="auto" w:fill="auto"/>
            <w:vAlign w:val="center"/>
          </w:tcPr>
          <w:p w:rsidR="008C7BA2" w:rsidRPr="008C7BA2" w:rsidRDefault="008C7BA2" w:rsidP="00383EFB">
            <w:pPr>
              <w:jc w:val="center"/>
              <w:rPr>
                <w:b/>
              </w:rPr>
            </w:pPr>
            <w:r w:rsidRPr="008C7BA2">
              <w:rPr>
                <w:b/>
              </w:rPr>
              <w:t>Marks</w:t>
            </w:r>
          </w:p>
        </w:tc>
      </w:tr>
      <w:tr w:rsidR="008C7BA2" w:rsidRPr="00EF5853" w:rsidTr="00A223BF">
        <w:trPr>
          <w:trHeight w:val="90"/>
        </w:trPr>
        <w:tc>
          <w:tcPr>
            <w:tcW w:w="630" w:type="dxa"/>
            <w:shd w:val="clear" w:color="auto" w:fill="auto"/>
          </w:tcPr>
          <w:p w:rsidR="008C7BA2" w:rsidRPr="00EF5853" w:rsidRDefault="008C7BA2" w:rsidP="008C7BA2">
            <w:pPr>
              <w:jc w:val="center"/>
            </w:pPr>
            <w:r w:rsidRPr="00EF5853">
              <w:t>1.</w:t>
            </w:r>
          </w:p>
        </w:tc>
        <w:tc>
          <w:tcPr>
            <w:tcW w:w="720" w:type="dxa"/>
            <w:shd w:val="clear" w:color="auto" w:fill="auto"/>
          </w:tcPr>
          <w:p w:rsidR="008C7BA2" w:rsidRPr="00EF5853" w:rsidRDefault="008C7BA2" w:rsidP="008C7BA2">
            <w:pPr>
              <w:jc w:val="center"/>
            </w:pPr>
          </w:p>
        </w:tc>
        <w:tc>
          <w:tcPr>
            <w:tcW w:w="7110" w:type="dxa"/>
            <w:shd w:val="clear" w:color="auto" w:fill="auto"/>
          </w:tcPr>
          <w:p w:rsidR="008C7BA2" w:rsidRPr="00EF5853" w:rsidRDefault="00EC6397" w:rsidP="00A223BF">
            <w:pPr>
              <w:jc w:val="both"/>
            </w:pPr>
            <w:r>
              <w:t>Explain the evolution of Freight industry over the last five decades.</w:t>
            </w:r>
          </w:p>
        </w:tc>
        <w:tc>
          <w:tcPr>
            <w:tcW w:w="1170" w:type="dxa"/>
            <w:shd w:val="clear" w:color="auto" w:fill="auto"/>
            <w:vAlign w:val="center"/>
          </w:tcPr>
          <w:p w:rsidR="008C7BA2" w:rsidRPr="00875196" w:rsidRDefault="00B03262" w:rsidP="00383EFB">
            <w:pPr>
              <w:jc w:val="center"/>
              <w:rPr>
                <w:sz w:val="22"/>
                <w:szCs w:val="22"/>
              </w:rPr>
            </w:pPr>
            <w:r>
              <w:rPr>
                <w:sz w:val="22"/>
                <w:szCs w:val="22"/>
              </w:rPr>
              <w:t>CO1</w:t>
            </w:r>
          </w:p>
        </w:tc>
        <w:tc>
          <w:tcPr>
            <w:tcW w:w="950" w:type="dxa"/>
            <w:shd w:val="clear" w:color="auto" w:fill="auto"/>
            <w:vAlign w:val="center"/>
          </w:tcPr>
          <w:p w:rsidR="008C7BA2" w:rsidRPr="005814FF" w:rsidRDefault="00EC6397" w:rsidP="00383EFB">
            <w:pPr>
              <w:jc w:val="center"/>
            </w:pPr>
            <w:r>
              <w:t>20</w:t>
            </w:r>
          </w:p>
        </w:tc>
      </w:tr>
      <w:tr w:rsidR="008C7BA2" w:rsidRPr="00EF5853" w:rsidTr="00383EFB">
        <w:trPr>
          <w:trHeight w:val="90"/>
        </w:trPr>
        <w:tc>
          <w:tcPr>
            <w:tcW w:w="10580" w:type="dxa"/>
            <w:gridSpan w:val="5"/>
            <w:shd w:val="clear" w:color="auto" w:fill="auto"/>
            <w:vAlign w:val="center"/>
          </w:tcPr>
          <w:p w:rsidR="008C7BA2" w:rsidRPr="005814FF" w:rsidRDefault="008C7BA2" w:rsidP="00383EFB">
            <w:pPr>
              <w:jc w:val="center"/>
            </w:pPr>
            <w:r w:rsidRPr="005814FF">
              <w:t>(OR)</w:t>
            </w:r>
          </w:p>
        </w:tc>
      </w:tr>
      <w:tr w:rsidR="008C7BA2" w:rsidRPr="00EF5853" w:rsidTr="00A223BF">
        <w:trPr>
          <w:trHeight w:val="90"/>
        </w:trPr>
        <w:tc>
          <w:tcPr>
            <w:tcW w:w="630" w:type="dxa"/>
            <w:vMerge w:val="restart"/>
            <w:shd w:val="clear" w:color="auto" w:fill="auto"/>
          </w:tcPr>
          <w:p w:rsidR="008C7BA2" w:rsidRPr="00EF5853" w:rsidRDefault="008C7BA2" w:rsidP="008C7BA2">
            <w:pPr>
              <w:jc w:val="center"/>
            </w:pPr>
            <w:r w:rsidRPr="00EF5853">
              <w:t>2.</w:t>
            </w:r>
          </w:p>
        </w:tc>
        <w:tc>
          <w:tcPr>
            <w:tcW w:w="720" w:type="dxa"/>
            <w:shd w:val="clear" w:color="auto" w:fill="auto"/>
          </w:tcPr>
          <w:p w:rsidR="008C7BA2" w:rsidRPr="00EF5853" w:rsidRDefault="008C7BA2" w:rsidP="008C7BA2">
            <w:pPr>
              <w:jc w:val="center"/>
            </w:pPr>
            <w:r w:rsidRPr="00EF5853">
              <w:t>a.</w:t>
            </w:r>
          </w:p>
        </w:tc>
        <w:tc>
          <w:tcPr>
            <w:tcW w:w="7110" w:type="dxa"/>
            <w:shd w:val="clear" w:color="auto" w:fill="auto"/>
          </w:tcPr>
          <w:p w:rsidR="008C7BA2" w:rsidRPr="00EF5853" w:rsidRDefault="00734AAA" w:rsidP="00A223BF">
            <w:pPr>
              <w:jc w:val="both"/>
            </w:pPr>
            <w:r>
              <w:t>Who are all the stakeholders in freight industry?</w:t>
            </w:r>
          </w:p>
        </w:tc>
        <w:tc>
          <w:tcPr>
            <w:tcW w:w="1170" w:type="dxa"/>
            <w:shd w:val="clear" w:color="auto" w:fill="auto"/>
            <w:vAlign w:val="center"/>
          </w:tcPr>
          <w:p w:rsidR="008C7BA2" w:rsidRPr="00875196" w:rsidRDefault="00B03262" w:rsidP="00383EFB">
            <w:pPr>
              <w:jc w:val="center"/>
              <w:rPr>
                <w:sz w:val="22"/>
                <w:szCs w:val="22"/>
              </w:rPr>
            </w:pPr>
            <w:r>
              <w:rPr>
                <w:sz w:val="22"/>
                <w:szCs w:val="22"/>
              </w:rPr>
              <w:t>CO1</w:t>
            </w:r>
          </w:p>
        </w:tc>
        <w:tc>
          <w:tcPr>
            <w:tcW w:w="950" w:type="dxa"/>
            <w:shd w:val="clear" w:color="auto" w:fill="auto"/>
            <w:vAlign w:val="center"/>
          </w:tcPr>
          <w:p w:rsidR="008C7BA2" w:rsidRPr="005814FF" w:rsidRDefault="00734AAA" w:rsidP="00383EFB">
            <w:pPr>
              <w:jc w:val="center"/>
            </w:pPr>
            <w:r>
              <w:t>10</w:t>
            </w:r>
          </w:p>
        </w:tc>
      </w:tr>
      <w:tr w:rsidR="008C7BA2" w:rsidRPr="00EF5853" w:rsidTr="00A223BF">
        <w:trPr>
          <w:trHeight w:val="42"/>
        </w:trPr>
        <w:tc>
          <w:tcPr>
            <w:tcW w:w="630" w:type="dxa"/>
            <w:vMerge/>
            <w:shd w:val="clear" w:color="auto" w:fill="auto"/>
          </w:tcPr>
          <w:p w:rsidR="008C7BA2" w:rsidRPr="00EF5853" w:rsidRDefault="008C7BA2" w:rsidP="008C7BA2">
            <w:pPr>
              <w:jc w:val="center"/>
            </w:pPr>
          </w:p>
        </w:tc>
        <w:tc>
          <w:tcPr>
            <w:tcW w:w="720" w:type="dxa"/>
            <w:shd w:val="clear" w:color="auto" w:fill="auto"/>
          </w:tcPr>
          <w:p w:rsidR="008C7BA2" w:rsidRPr="00EF5853" w:rsidRDefault="008C7BA2" w:rsidP="008C7BA2">
            <w:pPr>
              <w:jc w:val="center"/>
            </w:pPr>
            <w:r w:rsidRPr="00EF5853">
              <w:t>b.</w:t>
            </w:r>
          </w:p>
        </w:tc>
        <w:tc>
          <w:tcPr>
            <w:tcW w:w="7110" w:type="dxa"/>
            <w:shd w:val="clear" w:color="auto" w:fill="auto"/>
          </w:tcPr>
          <w:p w:rsidR="008C7BA2" w:rsidRPr="00EF5853" w:rsidRDefault="008F78F2" w:rsidP="00A223BF">
            <w:pPr>
              <w:jc w:val="both"/>
            </w:pPr>
            <w:r>
              <w:t>What are the resources required for the freight industry to accomplish smooth trade for the economy</w:t>
            </w:r>
          </w:p>
        </w:tc>
        <w:tc>
          <w:tcPr>
            <w:tcW w:w="1170" w:type="dxa"/>
            <w:shd w:val="clear" w:color="auto" w:fill="auto"/>
            <w:vAlign w:val="center"/>
          </w:tcPr>
          <w:p w:rsidR="008C7BA2" w:rsidRPr="00875196" w:rsidRDefault="008C7BA2" w:rsidP="00383EFB">
            <w:pPr>
              <w:jc w:val="center"/>
              <w:rPr>
                <w:sz w:val="22"/>
                <w:szCs w:val="22"/>
              </w:rPr>
            </w:pPr>
          </w:p>
        </w:tc>
        <w:tc>
          <w:tcPr>
            <w:tcW w:w="950" w:type="dxa"/>
            <w:shd w:val="clear" w:color="auto" w:fill="auto"/>
            <w:vAlign w:val="center"/>
          </w:tcPr>
          <w:p w:rsidR="008C7BA2" w:rsidRPr="005814FF" w:rsidRDefault="008F78F2" w:rsidP="00383EFB">
            <w:pPr>
              <w:jc w:val="center"/>
            </w:pPr>
            <w:r>
              <w:t>10</w:t>
            </w:r>
          </w:p>
        </w:tc>
      </w:tr>
      <w:tr w:rsidR="00D85619" w:rsidRPr="00EF5853" w:rsidTr="00A223BF">
        <w:trPr>
          <w:trHeight w:val="90"/>
        </w:trPr>
        <w:tc>
          <w:tcPr>
            <w:tcW w:w="630" w:type="dxa"/>
            <w:shd w:val="clear" w:color="auto" w:fill="auto"/>
          </w:tcPr>
          <w:p w:rsidR="00D85619" w:rsidRPr="00EF5853" w:rsidRDefault="00D85619" w:rsidP="008C7BA2">
            <w:pPr>
              <w:jc w:val="center"/>
            </w:pPr>
          </w:p>
        </w:tc>
        <w:tc>
          <w:tcPr>
            <w:tcW w:w="720" w:type="dxa"/>
            <w:shd w:val="clear" w:color="auto" w:fill="auto"/>
          </w:tcPr>
          <w:p w:rsidR="00D85619" w:rsidRPr="00EF5853" w:rsidRDefault="00D85619" w:rsidP="008C7BA2">
            <w:pPr>
              <w:jc w:val="center"/>
            </w:pPr>
          </w:p>
        </w:tc>
        <w:tc>
          <w:tcPr>
            <w:tcW w:w="7110" w:type="dxa"/>
            <w:shd w:val="clear" w:color="auto" w:fill="auto"/>
          </w:tcPr>
          <w:p w:rsidR="00D85619" w:rsidRPr="00EF5853" w:rsidRDefault="00D85619" w:rsidP="00A223BF">
            <w:pPr>
              <w:jc w:val="both"/>
            </w:pPr>
          </w:p>
        </w:tc>
        <w:tc>
          <w:tcPr>
            <w:tcW w:w="1170" w:type="dxa"/>
            <w:shd w:val="clear" w:color="auto" w:fill="auto"/>
            <w:vAlign w:val="center"/>
          </w:tcPr>
          <w:p w:rsidR="00D85619" w:rsidRPr="00875196" w:rsidRDefault="00D85619" w:rsidP="00383EFB">
            <w:pPr>
              <w:jc w:val="center"/>
              <w:rPr>
                <w:sz w:val="22"/>
                <w:szCs w:val="22"/>
              </w:rPr>
            </w:pPr>
          </w:p>
        </w:tc>
        <w:tc>
          <w:tcPr>
            <w:tcW w:w="950" w:type="dxa"/>
            <w:shd w:val="clear" w:color="auto" w:fill="auto"/>
            <w:vAlign w:val="center"/>
          </w:tcPr>
          <w:p w:rsidR="00D85619" w:rsidRPr="005814FF" w:rsidRDefault="00D85619" w:rsidP="00383EFB">
            <w:pPr>
              <w:jc w:val="center"/>
            </w:pPr>
          </w:p>
        </w:tc>
      </w:tr>
      <w:tr w:rsidR="00591CF9" w:rsidRPr="00EF5853" w:rsidTr="00A223BF">
        <w:trPr>
          <w:trHeight w:val="90"/>
        </w:trPr>
        <w:tc>
          <w:tcPr>
            <w:tcW w:w="630" w:type="dxa"/>
            <w:vMerge w:val="restart"/>
            <w:shd w:val="clear" w:color="auto" w:fill="auto"/>
          </w:tcPr>
          <w:p w:rsidR="00591CF9" w:rsidRPr="00EF5853" w:rsidRDefault="00591CF9" w:rsidP="008C7BA2">
            <w:pPr>
              <w:jc w:val="center"/>
            </w:pPr>
            <w:r w:rsidRPr="00EF5853">
              <w:t>3.</w:t>
            </w:r>
          </w:p>
        </w:tc>
        <w:tc>
          <w:tcPr>
            <w:tcW w:w="720" w:type="dxa"/>
            <w:shd w:val="clear" w:color="auto" w:fill="auto"/>
          </w:tcPr>
          <w:p w:rsidR="00591CF9" w:rsidRPr="00EF5853" w:rsidRDefault="00591CF9" w:rsidP="008C7BA2">
            <w:pPr>
              <w:jc w:val="center"/>
            </w:pPr>
            <w:r w:rsidRPr="00EF5853">
              <w:t>a.</w:t>
            </w:r>
          </w:p>
        </w:tc>
        <w:tc>
          <w:tcPr>
            <w:tcW w:w="7110" w:type="dxa"/>
            <w:shd w:val="clear" w:color="auto" w:fill="auto"/>
          </w:tcPr>
          <w:p w:rsidR="00591CF9" w:rsidRPr="00EF5853" w:rsidRDefault="00591CF9" w:rsidP="00A223BF">
            <w:pPr>
              <w:jc w:val="both"/>
            </w:pPr>
            <w:r>
              <w:t>Discuss the bottlenecks of Freight Transportation.</w:t>
            </w:r>
          </w:p>
        </w:tc>
        <w:tc>
          <w:tcPr>
            <w:tcW w:w="1170" w:type="dxa"/>
            <w:shd w:val="clear" w:color="auto" w:fill="auto"/>
            <w:vAlign w:val="center"/>
          </w:tcPr>
          <w:p w:rsidR="00591CF9" w:rsidRPr="00875196" w:rsidRDefault="00591CF9" w:rsidP="00383EFB">
            <w:pPr>
              <w:jc w:val="center"/>
              <w:rPr>
                <w:sz w:val="22"/>
                <w:szCs w:val="22"/>
              </w:rPr>
            </w:pPr>
            <w:r>
              <w:rPr>
                <w:sz w:val="22"/>
                <w:szCs w:val="22"/>
              </w:rPr>
              <w:t>CO2</w:t>
            </w:r>
          </w:p>
        </w:tc>
        <w:tc>
          <w:tcPr>
            <w:tcW w:w="950" w:type="dxa"/>
            <w:shd w:val="clear" w:color="auto" w:fill="auto"/>
            <w:vAlign w:val="center"/>
          </w:tcPr>
          <w:p w:rsidR="00591CF9" w:rsidRPr="005814FF" w:rsidRDefault="00591CF9" w:rsidP="00383EFB">
            <w:pPr>
              <w:jc w:val="center"/>
            </w:pPr>
            <w:r>
              <w:t>10</w:t>
            </w:r>
          </w:p>
        </w:tc>
      </w:tr>
      <w:tr w:rsidR="00591CF9" w:rsidRPr="00EF5853" w:rsidTr="00A223BF">
        <w:trPr>
          <w:trHeight w:val="90"/>
        </w:trPr>
        <w:tc>
          <w:tcPr>
            <w:tcW w:w="630" w:type="dxa"/>
            <w:vMerge/>
            <w:shd w:val="clear" w:color="auto" w:fill="auto"/>
          </w:tcPr>
          <w:p w:rsidR="00591CF9" w:rsidRPr="00EF5853" w:rsidRDefault="00591CF9" w:rsidP="008C7BA2">
            <w:pPr>
              <w:jc w:val="center"/>
            </w:pPr>
          </w:p>
        </w:tc>
        <w:tc>
          <w:tcPr>
            <w:tcW w:w="720" w:type="dxa"/>
            <w:shd w:val="clear" w:color="auto" w:fill="auto"/>
          </w:tcPr>
          <w:p w:rsidR="00591CF9" w:rsidRPr="00EF5853" w:rsidRDefault="00591CF9" w:rsidP="008C7BA2">
            <w:pPr>
              <w:jc w:val="center"/>
            </w:pPr>
            <w:r w:rsidRPr="00EF5853">
              <w:t>b.</w:t>
            </w:r>
          </w:p>
        </w:tc>
        <w:tc>
          <w:tcPr>
            <w:tcW w:w="7110" w:type="dxa"/>
            <w:shd w:val="clear" w:color="auto" w:fill="auto"/>
          </w:tcPr>
          <w:p w:rsidR="00591CF9" w:rsidRPr="00EF5853" w:rsidRDefault="00591CF9" w:rsidP="00A223BF">
            <w:pPr>
              <w:jc w:val="both"/>
            </w:pPr>
            <w:r>
              <w:t>How do you classify vehicle used for commercial transportation?</w:t>
            </w:r>
          </w:p>
        </w:tc>
        <w:tc>
          <w:tcPr>
            <w:tcW w:w="1170" w:type="dxa"/>
            <w:shd w:val="clear" w:color="auto" w:fill="auto"/>
            <w:vAlign w:val="center"/>
          </w:tcPr>
          <w:p w:rsidR="00591CF9" w:rsidRPr="00875196" w:rsidRDefault="00591CF9" w:rsidP="00383EFB">
            <w:pPr>
              <w:jc w:val="center"/>
              <w:rPr>
                <w:sz w:val="22"/>
                <w:szCs w:val="22"/>
              </w:rPr>
            </w:pPr>
            <w:r>
              <w:rPr>
                <w:sz w:val="22"/>
                <w:szCs w:val="22"/>
              </w:rPr>
              <w:t>CO2</w:t>
            </w:r>
          </w:p>
        </w:tc>
        <w:tc>
          <w:tcPr>
            <w:tcW w:w="950" w:type="dxa"/>
            <w:shd w:val="clear" w:color="auto" w:fill="auto"/>
            <w:vAlign w:val="center"/>
          </w:tcPr>
          <w:p w:rsidR="00591CF9" w:rsidRPr="005814FF" w:rsidRDefault="00591CF9" w:rsidP="00383EFB">
            <w:pPr>
              <w:jc w:val="center"/>
            </w:pPr>
            <w:r>
              <w:t>10</w:t>
            </w:r>
          </w:p>
        </w:tc>
      </w:tr>
      <w:tr w:rsidR="008C7BA2" w:rsidRPr="00EF5853" w:rsidTr="00383EFB">
        <w:trPr>
          <w:trHeight w:val="90"/>
        </w:trPr>
        <w:tc>
          <w:tcPr>
            <w:tcW w:w="10580" w:type="dxa"/>
            <w:gridSpan w:val="5"/>
            <w:shd w:val="clear" w:color="auto" w:fill="auto"/>
            <w:vAlign w:val="center"/>
          </w:tcPr>
          <w:p w:rsidR="008C7BA2" w:rsidRPr="005814FF" w:rsidRDefault="008C7BA2" w:rsidP="00383EFB">
            <w:pPr>
              <w:jc w:val="center"/>
            </w:pPr>
            <w:r w:rsidRPr="005814FF">
              <w:t>(OR)</w:t>
            </w:r>
          </w:p>
        </w:tc>
      </w:tr>
      <w:tr w:rsidR="00591CF9" w:rsidRPr="00EF5853" w:rsidTr="00A223BF">
        <w:trPr>
          <w:trHeight w:val="90"/>
        </w:trPr>
        <w:tc>
          <w:tcPr>
            <w:tcW w:w="630" w:type="dxa"/>
            <w:vMerge w:val="restart"/>
            <w:shd w:val="clear" w:color="auto" w:fill="auto"/>
          </w:tcPr>
          <w:p w:rsidR="00591CF9" w:rsidRPr="00EF5853" w:rsidRDefault="00591CF9" w:rsidP="008C7BA2">
            <w:pPr>
              <w:jc w:val="center"/>
            </w:pPr>
            <w:r w:rsidRPr="00EF5853">
              <w:t>4.</w:t>
            </w:r>
          </w:p>
        </w:tc>
        <w:tc>
          <w:tcPr>
            <w:tcW w:w="720" w:type="dxa"/>
            <w:shd w:val="clear" w:color="auto" w:fill="auto"/>
          </w:tcPr>
          <w:p w:rsidR="00591CF9" w:rsidRPr="00EF5853" w:rsidRDefault="00591CF9" w:rsidP="008C7BA2">
            <w:pPr>
              <w:jc w:val="center"/>
            </w:pPr>
            <w:r w:rsidRPr="00EF5853">
              <w:t>a.</w:t>
            </w:r>
          </w:p>
        </w:tc>
        <w:tc>
          <w:tcPr>
            <w:tcW w:w="7110" w:type="dxa"/>
            <w:shd w:val="clear" w:color="auto" w:fill="auto"/>
          </w:tcPr>
          <w:p w:rsidR="00591CF9" w:rsidRPr="00EF5853" w:rsidRDefault="00591CF9" w:rsidP="00A223BF">
            <w:pPr>
              <w:jc w:val="both"/>
            </w:pPr>
            <w:r>
              <w:t>What are the factors influences the changes in maritime freights.</w:t>
            </w:r>
          </w:p>
        </w:tc>
        <w:tc>
          <w:tcPr>
            <w:tcW w:w="1170" w:type="dxa"/>
            <w:shd w:val="clear" w:color="auto" w:fill="auto"/>
            <w:vAlign w:val="center"/>
          </w:tcPr>
          <w:p w:rsidR="00591CF9" w:rsidRPr="00875196" w:rsidRDefault="00591CF9" w:rsidP="00383EFB">
            <w:pPr>
              <w:jc w:val="center"/>
              <w:rPr>
                <w:sz w:val="22"/>
                <w:szCs w:val="22"/>
              </w:rPr>
            </w:pPr>
            <w:r>
              <w:rPr>
                <w:sz w:val="22"/>
                <w:szCs w:val="22"/>
              </w:rPr>
              <w:t>CO2</w:t>
            </w:r>
          </w:p>
        </w:tc>
        <w:tc>
          <w:tcPr>
            <w:tcW w:w="950" w:type="dxa"/>
            <w:shd w:val="clear" w:color="auto" w:fill="auto"/>
            <w:vAlign w:val="center"/>
          </w:tcPr>
          <w:p w:rsidR="00591CF9" w:rsidRPr="005814FF" w:rsidRDefault="00591CF9" w:rsidP="00383EFB">
            <w:pPr>
              <w:jc w:val="center"/>
            </w:pPr>
            <w:r>
              <w:t>10</w:t>
            </w:r>
          </w:p>
        </w:tc>
      </w:tr>
      <w:tr w:rsidR="00591CF9" w:rsidRPr="00EF5853" w:rsidTr="00A223BF">
        <w:trPr>
          <w:trHeight w:val="90"/>
        </w:trPr>
        <w:tc>
          <w:tcPr>
            <w:tcW w:w="630" w:type="dxa"/>
            <w:vMerge/>
            <w:shd w:val="clear" w:color="auto" w:fill="auto"/>
          </w:tcPr>
          <w:p w:rsidR="00591CF9" w:rsidRPr="00EF5853" w:rsidRDefault="00591CF9" w:rsidP="008C7BA2">
            <w:pPr>
              <w:jc w:val="center"/>
            </w:pPr>
          </w:p>
        </w:tc>
        <w:tc>
          <w:tcPr>
            <w:tcW w:w="720" w:type="dxa"/>
            <w:shd w:val="clear" w:color="auto" w:fill="auto"/>
          </w:tcPr>
          <w:p w:rsidR="00591CF9" w:rsidRPr="00EF5853" w:rsidRDefault="00591CF9" w:rsidP="008C7BA2">
            <w:pPr>
              <w:jc w:val="center"/>
            </w:pPr>
            <w:r w:rsidRPr="00EF5853">
              <w:t>b.</w:t>
            </w:r>
          </w:p>
        </w:tc>
        <w:tc>
          <w:tcPr>
            <w:tcW w:w="7110" w:type="dxa"/>
            <w:shd w:val="clear" w:color="auto" w:fill="auto"/>
          </w:tcPr>
          <w:p w:rsidR="00591CF9" w:rsidRPr="00EF5853" w:rsidRDefault="00591CF9" w:rsidP="00A223BF">
            <w:pPr>
              <w:jc w:val="both"/>
            </w:pPr>
            <w:r>
              <w:t>What are the causes of increased volatility of freights in the transportation industry?</w:t>
            </w:r>
          </w:p>
        </w:tc>
        <w:tc>
          <w:tcPr>
            <w:tcW w:w="1170" w:type="dxa"/>
            <w:shd w:val="clear" w:color="auto" w:fill="auto"/>
            <w:vAlign w:val="center"/>
          </w:tcPr>
          <w:p w:rsidR="00591CF9" w:rsidRPr="00875196" w:rsidRDefault="00591CF9" w:rsidP="00383EFB">
            <w:pPr>
              <w:jc w:val="center"/>
              <w:rPr>
                <w:sz w:val="22"/>
                <w:szCs w:val="22"/>
              </w:rPr>
            </w:pPr>
            <w:r>
              <w:rPr>
                <w:sz w:val="22"/>
                <w:szCs w:val="22"/>
              </w:rPr>
              <w:t>CO2</w:t>
            </w:r>
          </w:p>
        </w:tc>
        <w:tc>
          <w:tcPr>
            <w:tcW w:w="950" w:type="dxa"/>
            <w:shd w:val="clear" w:color="auto" w:fill="auto"/>
            <w:vAlign w:val="center"/>
          </w:tcPr>
          <w:p w:rsidR="00591CF9" w:rsidRPr="005814FF" w:rsidRDefault="00591CF9" w:rsidP="00383EFB">
            <w:pPr>
              <w:jc w:val="center"/>
            </w:pPr>
            <w:r>
              <w:t>10</w:t>
            </w:r>
          </w:p>
        </w:tc>
      </w:tr>
      <w:tr w:rsidR="00D85619" w:rsidRPr="00EF5853" w:rsidTr="00A223BF">
        <w:trPr>
          <w:trHeight w:val="90"/>
        </w:trPr>
        <w:tc>
          <w:tcPr>
            <w:tcW w:w="630" w:type="dxa"/>
            <w:shd w:val="clear" w:color="auto" w:fill="auto"/>
          </w:tcPr>
          <w:p w:rsidR="00D85619" w:rsidRPr="00EF5853" w:rsidRDefault="00D85619" w:rsidP="008C7BA2">
            <w:pPr>
              <w:jc w:val="center"/>
            </w:pPr>
          </w:p>
        </w:tc>
        <w:tc>
          <w:tcPr>
            <w:tcW w:w="720" w:type="dxa"/>
            <w:shd w:val="clear" w:color="auto" w:fill="auto"/>
          </w:tcPr>
          <w:p w:rsidR="00D85619" w:rsidRPr="00EF5853" w:rsidRDefault="00D85619" w:rsidP="008C7BA2">
            <w:pPr>
              <w:jc w:val="center"/>
            </w:pPr>
          </w:p>
        </w:tc>
        <w:tc>
          <w:tcPr>
            <w:tcW w:w="7110" w:type="dxa"/>
            <w:shd w:val="clear" w:color="auto" w:fill="auto"/>
          </w:tcPr>
          <w:p w:rsidR="00D85619" w:rsidRPr="00EF5853" w:rsidRDefault="00D85619" w:rsidP="00193F27"/>
        </w:tc>
        <w:tc>
          <w:tcPr>
            <w:tcW w:w="1170" w:type="dxa"/>
            <w:shd w:val="clear" w:color="auto" w:fill="auto"/>
            <w:vAlign w:val="center"/>
          </w:tcPr>
          <w:p w:rsidR="00D85619" w:rsidRPr="00875196" w:rsidRDefault="00D85619" w:rsidP="00383EFB">
            <w:pPr>
              <w:jc w:val="center"/>
              <w:rPr>
                <w:sz w:val="22"/>
                <w:szCs w:val="22"/>
              </w:rPr>
            </w:pPr>
          </w:p>
        </w:tc>
        <w:tc>
          <w:tcPr>
            <w:tcW w:w="950" w:type="dxa"/>
            <w:shd w:val="clear" w:color="auto" w:fill="auto"/>
            <w:vAlign w:val="center"/>
          </w:tcPr>
          <w:p w:rsidR="00D85619" w:rsidRPr="005814FF" w:rsidRDefault="00D85619" w:rsidP="00383EFB">
            <w:pPr>
              <w:jc w:val="center"/>
            </w:pPr>
          </w:p>
        </w:tc>
      </w:tr>
      <w:tr w:rsidR="008C7BA2" w:rsidRPr="00EF5853" w:rsidTr="00A223BF">
        <w:trPr>
          <w:trHeight w:val="90"/>
        </w:trPr>
        <w:tc>
          <w:tcPr>
            <w:tcW w:w="630" w:type="dxa"/>
            <w:shd w:val="clear" w:color="auto" w:fill="auto"/>
          </w:tcPr>
          <w:p w:rsidR="008C7BA2" w:rsidRPr="00EF5853" w:rsidRDefault="008C7BA2" w:rsidP="008C7BA2">
            <w:pPr>
              <w:jc w:val="center"/>
            </w:pPr>
            <w:r w:rsidRPr="00EF5853">
              <w:t>5.</w:t>
            </w:r>
          </w:p>
        </w:tc>
        <w:tc>
          <w:tcPr>
            <w:tcW w:w="720" w:type="dxa"/>
            <w:shd w:val="clear" w:color="auto" w:fill="auto"/>
          </w:tcPr>
          <w:p w:rsidR="008C7BA2" w:rsidRPr="00EF5853" w:rsidRDefault="008C7BA2" w:rsidP="008C7BA2">
            <w:pPr>
              <w:jc w:val="center"/>
            </w:pPr>
          </w:p>
        </w:tc>
        <w:tc>
          <w:tcPr>
            <w:tcW w:w="7110" w:type="dxa"/>
            <w:shd w:val="clear" w:color="auto" w:fill="auto"/>
          </w:tcPr>
          <w:p w:rsidR="008C7BA2" w:rsidRPr="00EF5853" w:rsidRDefault="00A223BF" w:rsidP="00A16CB9">
            <w:pPr>
              <w:jc w:val="both"/>
            </w:pPr>
            <w:r>
              <w:t xml:space="preserve">List out and explain any </w:t>
            </w:r>
            <w:r w:rsidRPr="00BB7234">
              <w:t>TEN DOCUMENTS</w:t>
            </w:r>
            <w:r>
              <w:t xml:space="preserve"> used in transportation.</w:t>
            </w:r>
          </w:p>
        </w:tc>
        <w:tc>
          <w:tcPr>
            <w:tcW w:w="1170" w:type="dxa"/>
            <w:shd w:val="clear" w:color="auto" w:fill="auto"/>
            <w:vAlign w:val="center"/>
          </w:tcPr>
          <w:p w:rsidR="008C7BA2" w:rsidRPr="00875196" w:rsidRDefault="00B03262" w:rsidP="00383EFB">
            <w:pPr>
              <w:jc w:val="center"/>
              <w:rPr>
                <w:sz w:val="22"/>
                <w:szCs w:val="22"/>
              </w:rPr>
            </w:pPr>
            <w:r>
              <w:rPr>
                <w:sz w:val="22"/>
                <w:szCs w:val="22"/>
              </w:rPr>
              <w:t>CO3</w:t>
            </w:r>
          </w:p>
        </w:tc>
        <w:tc>
          <w:tcPr>
            <w:tcW w:w="950" w:type="dxa"/>
            <w:shd w:val="clear" w:color="auto" w:fill="auto"/>
            <w:vAlign w:val="center"/>
          </w:tcPr>
          <w:p w:rsidR="008C7BA2" w:rsidRPr="005814FF" w:rsidRDefault="00595456" w:rsidP="00383EFB">
            <w:pPr>
              <w:jc w:val="center"/>
            </w:pPr>
            <w:r>
              <w:t>20</w:t>
            </w:r>
          </w:p>
        </w:tc>
      </w:tr>
      <w:tr w:rsidR="008C7BA2" w:rsidRPr="00EF5853" w:rsidTr="00383EFB">
        <w:trPr>
          <w:trHeight w:val="90"/>
        </w:trPr>
        <w:tc>
          <w:tcPr>
            <w:tcW w:w="10580" w:type="dxa"/>
            <w:gridSpan w:val="5"/>
            <w:shd w:val="clear" w:color="auto" w:fill="auto"/>
            <w:vAlign w:val="center"/>
          </w:tcPr>
          <w:p w:rsidR="008C7BA2" w:rsidRPr="005814FF" w:rsidRDefault="008C7BA2" w:rsidP="00383EFB">
            <w:pPr>
              <w:jc w:val="center"/>
            </w:pPr>
            <w:r w:rsidRPr="005814FF">
              <w:t>(OR)</w:t>
            </w:r>
          </w:p>
        </w:tc>
      </w:tr>
      <w:tr w:rsidR="008C7BA2" w:rsidRPr="00EF5853" w:rsidTr="00A223BF">
        <w:trPr>
          <w:trHeight w:val="90"/>
        </w:trPr>
        <w:tc>
          <w:tcPr>
            <w:tcW w:w="630" w:type="dxa"/>
            <w:shd w:val="clear" w:color="auto" w:fill="auto"/>
          </w:tcPr>
          <w:p w:rsidR="008C7BA2" w:rsidRPr="00EF5853" w:rsidRDefault="008C7BA2" w:rsidP="008C7BA2">
            <w:pPr>
              <w:jc w:val="center"/>
            </w:pPr>
            <w:r w:rsidRPr="00EF5853">
              <w:t>6.</w:t>
            </w:r>
          </w:p>
        </w:tc>
        <w:tc>
          <w:tcPr>
            <w:tcW w:w="720" w:type="dxa"/>
            <w:shd w:val="clear" w:color="auto" w:fill="auto"/>
          </w:tcPr>
          <w:p w:rsidR="008C7BA2" w:rsidRPr="00EF5853" w:rsidRDefault="008C7BA2" w:rsidP="008C7BA2">
            <w:pPr>
              <w:jc w:val="center"/>
            </w:pPr>
          </w:p>
        </w:tc>
        <w:tc>
          <w:tcPr>
            <w:tcW w:w="7110" w:type="dxa"/>
            <w:shd w:val="clear" w:color="auto" w:fill="auto"/>
          </w:tcPr>
          <w:p w:rsidR="008C7BA2" w:rsidRPr="00EF5853" w:rsidRDefault="00A223BF" w:rsidP="00A223BF">
            <w:pPr>
              <w:jc w:val="both"/>
            </w:pPr>
            <w:r>
              <w:t>Compare the relationship between shipper, consignee and the public.</w:t>
            </w:r>
          </w:p>
        </w:tc>
        <w:tc>
          <w:tcPr>
            <w:tcW w:w="1170" w:type="dxa"/>
            <w:shd w:val="clear" w:color="auto" w:fill="auto"/>
            <w:vAlign w:val="center"/>
          </w:tcPr>
          <w:p w:rsidR="008C7BA2" w:rsidRPr="00875196" w:rsidRDefault="00B03262" w:rsidP="00383EFB">
            <w:pPr>
              <w:jc w:val="center"/>
              <w:rPr>
                <w:sz w:val="22"/>
                <w:szCs w:val="22"/>
              </w:rPr>
            </w:pPr>
            <w:r>
              <w:rPr>
                <w:sz w:val="22"/>
                <w:szCs w:val="22"/>
              </w:rPr>
              <w:t>CO3</w:t>
            </w:r>
          </w:p>
        </w:tc>
        <w:tc>
          <w:tcPr>
            <w:tcW w:w="950" w:type="dxa"/>
            <w:shd w:val="clear" w:color="auto" w:fill="auto"/>
            <w:vAlign w:val="center"/>
          </w:tcPr>
          <w:p w:rsidR="008C7BA2" w:rsidRPr="005814FF" w:rsidRDefault="00BF2F27" w:rsidP="00383EFB">
            <w:pPr>
              <w:jc w:val="center"/>
            </w:pPr>
            <w:r>
              <w:t>20</w:t>
            </w:r>
          </w:p>
        </w:tc>
      </w:tr>
      <w:tr w:rsidR="00D85619" w:rsidRPr="00EF5853" w:rsidTr="00A223BF">
        <w:trPr>
          <w:trHeight w:val="90"/>
        </w:trPr>
        <w:tc>
          <w:tcPr>
            <w:tcW w:w="630" w:type="dxa"/>
            <w:shd w:val="clear" w:color="auto" w:fill="auto"/>
          </w:tcPr>
          <w:p w:rsidR="00D85619" w:rsidRPr="00EF5853" w:rsidRDefault="00D85619" w:rsidP="008C7BA2">
            <w:pPr>
              <w:jc w:val="center"/>
            </w:pPr>
          </w:p>
        </w:tc>
        <w:tc>
          <w:tcPr>
            <w:tcW w:w="720" w:type="dxa"/>
            <w:shd w:val="clear" w:color="auto" w:fill="auto"/>
          </w:tcPr>
          <w:p w:rsidR="00D85619" w:rsidRPr="00EF5853" w:rsidRDefault="00D85619" w:rsidP="008C7BA2">
            <w:pPr>
              <w:jc w:val="center"/>
            </w:pPr>
          </w:p>
        </w:tc>
        <w:tc>
          <w:tcPr>
            <w:tcW w:w="7110" w:type="dxa"/>
            <w:shd w:val="clear" w:color="auto" w:fill="auto"/>
          </w:tcPr>
          <w:p w:rsidR="00D85619" w:rsidRPr="00EF5853" w:rsidRDefault="00D85619" w:rsidP="00A223BF">
            <w:pPr>
              <w:jc w:val="both"/>
            </w:pPr>
          </w:p>
        </w:tc>
        <w:tc>
          <w:tcPr>
            <w:tcW w:w="1170" w:type="dxa"/>
            <w:shd w:val="clear" w:color="auto" w:fill="auto"/>
            <w:vAlign w:val="center"/>
          </w:tcPr>
          <w:p w:rsidR="00D85619" w:rsidRPr="00875196" w:rsidRDefault="00D85619" w:rsidP="00383EFB">
            <w:pPr>
              <w:jc w:val="center"/>
              <w:rPr>
                <w:sz w:val="22"/>
                <w:szCs w:val="22"/>
              </w:rPr>
            </w:pPr>
          </w:p>
        </w:tc>
        <w:tc>
          <w:tcPr>
            <w:tcW w:w="950" w:type="dxa"/>
            <w:shd w:val="clear" w:color="auto" w:fill="auto"/>
            <w:vAlign w:val="center"/>
          </w:tcPr>
          <w:p w:rsidR="00D85619" w:rsidRPr="005814FF" w:rsidRDefault="00D85619" w:rsidP="00383EFB">
            <w:pPr>
              <w:jc w:val="center"/>
            </w:pPr>
          </w:p>
        </w:tc>
      </w:tr>
      <w:tr w:rsidR="00591CF9" w:rsidRPr="00EF5853" w:rsidTr="00A223BF">
        <w:trPr>
          <w:trHeight w:val="90"/>
        </w:trPr>
        <w:tc>
          <w:tcPr>
            <w:tcW w:w="630" w:type="dxa"/>
            <w:vMerge w:val="restart"/>
            <w:shd w:val="clear" w:color="auto" w:fill="auto"/>
          </w:tcPr>
          <w:p w:rsidR="00591CF9" w:rsidRPr="00EF5853" w:rsidRDefault="00591CF9" w:rsidP="008C7BA2">
            <w:pPr>
              <w:jc w:val="center"/>
            </w:pPr>
            <w:r w:rsidRPr="00EF5853">
              <w:t>7.</w:t>
            </w:r>
          </w:p>
        </w:tc>
        <w:tc>
          <w:tcPr>
            <w:tcW w:w="720" w:type="dxa"/>
            <w:shd w:val="clear" w:color="auto" w:fill="auto"/>
          </w:tcPr>
          <w:p w:rsidR="00591CF9" w:rsidRPr="00EF5853" w:rsidRDefault="00591CF9" w:rsidP="008C7BA2">
            <w:pPr>
              <w:jc w:val="center"/>
            </w:pPr>
          </w:p>
        </w:tc>
        <w:tc>
          <w:tcPr>
            <w:tcW w:w="7110" w:type="dxa"/>
            <w:shd w:val="clear" w:color="auto" w:fill="auto"/>
          </w:tcPr>
          <w:p w:rsidR="00591CF9" w:rsidRPr="00EF5853" w:rsidRDefault="00591CF9" w:rsidP="00A223BF">
            <w:pPr>
              <w:jc w:val="both"/>
            </w:pPr>
            <w:r>
              <w:t>Write short notes on:</w:t>
            </w:r>
          </w:p>
        </w:tc>
        <w:tc>
          <w:tcPr>
            <w:tcW w:w="1170" w:type="dxa"/>
            <w:shd w:val="clear" w:color="auto" w:fill="auto"/>
            <w:vAlign w:val="center"/>
          </w:tcPr>
          <w:p w:rsidR="00591CF9" w:rsidRPr="00875196" w:rsidRDefault="00591CF9" w:rsidP="00383EFB">
            <w:pPr>
              <w:jc w:val="center"/>
              <w:rPr>
                <w:sz w:val="22"/>
                <w:szCs w:val="22"/>
              </w:rPr>
            </w:pPr>
          </w:p>
        </w:tc>
        <w:tc>
          <w:tcPr>
            <w:tcW w:w="950" w:type="dxa"/>
            <w:shd w:val="clear" w:color="auto" w:fill="auto"/>
            <w:vAlign w:val="center"/>
          </w:tcPr>
          <w:p w:rsidR="00591CF9" w:rsidRPr="005814FF" w:rsidRDefault="00591CF9" w:rsidP="00383EFB">
            <w:pPr>
              <w:jc w:val="center"/>
            </w:pPr>
          </w:p>
        </w:tc>
      </w:tr>
      <w:tr w:rsidR="00591CF9" w:rsidRPr="00EF5853" w:rsidTr="00A223BF">
        <w:trPr>
          <w:trHeight w:val="90"/>
        </w:trPr>
        <w:tc>
          <w:tcPr>
            <w:tcW w:w="630" w:type="dxa"/>
            <w:vMerge/>
            <w:shd w:val="clear" w:color="auto" w:fill="auto"/>
          </w:tcPr>
          <w:p w:rsidR="00591CF9" w:rsidRPr="00EF5853" w:rsidRDefault="00591CF9" w:rsidP="008C7BA2">
            <w:pPr>
              <w:jc w:val="center"/>
            </w:pPr>
          </w:p>
        </w:tc>
        <w:tc>
          <w:tcPr>
            <w:tcW w:w="720" w:type="dxa"/>
            <w:shd w:val="clear" w:color="auto" w:fill="auto"/>
          </w:tcPr>
          <w:p w:rsidR="00591CF9" w:rsidRPr="00EF5853" w:rsidRDefault="00591CF9" w:rsidP="0072646B">
            <w:pPr>
              <w:jc w:val="center"/>
            </w:pPr>
            <w:r w:rsidRPr="00EF5853">
              <w:t>a.</w:t>
            </w:r>
          </w:p>
        </w:tc>
        <w:tc>
          <w:tcPr>
            <w:tcW w:w="7110" w:type="dxa"/>
            <w:shd w:val="clear" w:color="auto" w:fill="auto"/>
          </w:tcPr>
          <w:p w:rsidR="00591CF9" w:rsidRPr="00EF5853" w:rsidRDefault="00591CF9" w:rsidP="00A223BF">
            <w:pPr>
              <w:jc w:val="both"/>
            </w:pPr>
            <w:r>
              <w:t>Perishable Cargoes.</w:t>
            </w:r>
          </w:p>
        </w:tc>
        <w:tc>
          <w:tcPr>
            <w:tcW w:w="1170" w:type="dxa"/>
            <w:vMerge w:val="restart"/>
            <w:shd w:val="clear" w:color="auto" w:fill="auto"/>
            <w:vAlign w:val="center"/>
          </w:tcPr>
          <w:p w:rsidR="00591CF9" w:rsidRPr="00875196" w:rsidRDefault="00591CF9" w:rsidP="00383EFB">
            <w:pPr>
              <w:jc w:val="center"/>
              <w:rPr>
                <w:sz w:val="22"/>
                <w:szCs w:val="22"/>
              </w:rPr>
            </w:pPr>
            <w:r>
              <w:rPr>
                <w:sz w:val="22"/>
                <w:szCs w:val="22"/>
              </w:rPr>
              <w:t>CO1</w:t>
            </w:r>
          </w:p>
        </w:tc>
        <w:tc>
          <w:tcPr>
            <w:tcW w:w="950" w:type="dxa"/>
            <w:shd w:val="clear" w:color="auto" w:fill="auto"/>
            <w:vAlign w:val="center"/>
          </w:tcPr>
          <w:p w:rsidR="00591CF9" w:rsidRPr="005814FF" w:rsidRDefault="00591CF9" w:rsidP="00383EFB">
            <w:pPr>
              <w:jc w:val="center"/>
            </w:pPr>
            <w:r>
              <w:t>5</w:t>
            </w:r>
          </w:p>
        </w:tc>
      </w:tr>
      <w:tr w:rsidR="00591CF9" w:rsidRPr="00EF5853" w:rsidTr="00A223BF">
        <w:trPr>
          <w:trHeight w:val="90"/>
        </w:trPr>
        <w:tc>
          <w:tcPr>
            <w:tcW w:w="630" w:type="dxa"/>
            <w:vMerge/>
            <w:shd w:val="clear" w:color="auto" w:fill="auto"/>
          </w:tcPr>
          <w:p w:rsidR="00591CF9" w:rsidRPr="00EF5853" w:rsidRDefault="00591CF9" w:rsidP="008C7BA2">
            <w:pPr>
              <w:jc w:val="center"/>
            </w:pPr>
          </w:p>
        </w:tc>
        <w:tc>
          <w:tcPr>
            <w:tcW w:w="720" w:type="dxa"/>
            <w:shd w:val="clear" w:color="auto" w:fill="auto"/>
          </w:tcPr>
          <w:p w:rsidR="00591CF9" w:rsidRPr="00EF5853" w:rsidRDefault="00591CF9" w:rsidP="0072646B">
            <w:pPr>
              <w:jc w:val="center"/>
            </w:pPr>
            <w:r w:rsidRPr="00EF5853">
              <w:t>b.</w:t>
            </w:r>
          </w:p>
        </w:tc>
        <w:tc>
          <w:tcPr>
            <w:tcW w:w="7110" w:type="dxa"/>
            <w:shd w:val="clear" w:color="auto" w:fill="auto"/>
          </w:tcPr>
          <w:p w:rsidR="00591CF9" w:rsidRPr="00EF5853" w:rsidRDefault="00591CF9" w:rsidP="00A223BF">
            <w:pPr>
              <w:jc w:val="both"/>
            </w:pPr>
            <w:r>
              <w:t>Hazardous Cargoes.</w:t>
            </w:r>
          </w:p>
        </w:tc>
        <w:tc>
          <w:tcPr>
            <w:tcW w:w="1170" w:type="dxa"/>
            <w:vMerge/>
            <w:shd w:val="clear" w:color="auto" w:fill="auto"/>
            <w:vAlign w:val="center"/>
          </w:tcPr>
          <w:p w:rsidR="00591CF9" w:rsidRPr="00875196" w:rsidRDefault="00591CF9" w:rsidP="00383EFB">
            <w:pPr>
              <w:jc w:val="center"/>
              <w:rPr>
                <w:sz w:val="22"/>
                <w:szCs w:val="22"/>
              </w:rPr>
            </w:pPr>
          </w:p>
        </w:tc>
        <w:tc>
          <w:tcPr>
            <w:tcW w:w="950" w:type="dxa"/>
            <w:shd w:val="clear" w:color="auto" w:fill="auto"/>
            <w:vAlign w:val="center"/>
          </w:tcPr>
          <w:p w:rsidR="00591CF9" w:rsidRPr="005814FF" w:rsidRDefault="00591CF9" w:rsidP="00383EFB">
            <w:pPr>
              <w:jc w:val="center"/>
            </w:pPr>
            <w:r>
              <w:t>5</w:t>
            </w:r>
          </w:p>
        </w:tc>
      </w:tr>
      <w:tr w:rsidR="00591CF9" w:rsidRPr="00EF5853" w:rsidTr="00A223BF">
        <w:trPr>
          <w:trHeight w:val="90"/>
        </w:trPr>
        <w:tc>
          <w:tcPr>
            <w:tcW w:w="630" w:type="dxa"/>
            <w:vMerge/>
            <w:shd w:val="clear" w:color="auto" w:fill="auto"/>
          </w:tcPr>
          <w:p w:rsidR="00591CF9" w:rsidRPr="00EF5853" w:rsidRDefault="00591CF9" w:rsidP="008C7BA2">
            <w:pPr>
              <w:jc w:val="center"/>
            </w:pPr>
          </w:p>
        </w:tc>
        <w:tc>
          <w:tcPr>
            <w:tcW w:w="720" w:type="dxa"/>
            <w:shd w:val="clear" w:color="auto" w:fill="auto"/>
          </w:tcPr>
          <w:p w:rsidR="00591CF9" w:rsidRPr="00EF5853" w:rsidRDefault="00591CF9" w:rsidP="008F1591">
            <w:pPr>
              <w:jc w:val="center"/>
            </w:pPr>
            <w:r>
              <w:t>c.</w:t>
            </w:r>
          </w:p>
        </w:tc>
        <w:tc>
          <w:tcPr>
            <w:tcW w:w="7110" w:type="dxa"/>
            <w:shd w:val="clear" w:color="auto" w:fill="auto"/>
          </w:tcPr>
          <w:p w:rsidR="00591CF9" w:rsidRPr="00EF5853" w:rsidRDefault="00591CF9" w:rsidP="00A223BF">
            <w:pPr>
              <w:jc w:val="both"/>
            </w:pPr>
            <w:r>
              <w:t>Seaborne Trade.</w:t>
            </w:r>
          </w:p>
        </w:tc>
        <w:tc>
          <w:tcPr>
            <w:tcW w:w="1170" w:type="dxa"/>
            <w:vMerge/>
            <w:shd w:val="clear" w:color="auto" w:fill="auto"/>
            <w:vAlign w:val="center"/>
          </w:tcPr>
          <w:p w:rsidR="00591CF9" w:rsidRPr="00875196" w:rsidRDefault="00591CF9" w:rsidP="00383EFB">
            <w:pPr>
              <w:jc w:val="center"/>
              <w:rPr>
                <w:sz w:val="22"/>
                <w:szCs w:val="22"/>
              </w:rPr>
            </w:pPr>
          </w:p>
        </w:tc>
        <w:tc>
          <w:tcPr>
            <w:tcW w:w="950" w:type="dxa"/>
            <w:shd w:val="clear" w:color="auto" w:fill="auto"/>
            <w:vAlign w:val="center"/>
          </w:tcPr>
          <w:p w:rsidR="00591CF9" w:rsidRPr="005814FF" w:rsidRDefault="00591CF9" w:rsidP="00383EFB">
            <w:pPr>
              <w:jc w:val="center"/>
            </w:pPr>
            <w:r>
              <w:t>5</w:t>
            </w:r>
          </w:p>
        </w:tc>
      </w:tr>
      <w:tr w:rsidR="00591CF9" w:rsidRPr="00EF5853" w:rsidTr="00A223BF">
        <w:trPr>
          <w:trHeight w:val="90"/>
        </w:trPr>
        <w:tc>
          <w:tcPr>
            <w:tcW w:w="630" w:type="dxa"/>
            <w:vMerge/>
            <w:shd w:val="clear" w:color="auto" w:fill="auto"/>
          </w:tcPr>
          <w:p w:rsidR="00591CF9" w:rsidRPr="00EF5853" w:rsidRDefault="00591CF9" w:rsidP="008C7BA2">
            <w:pPr>
              <w:jc w:val="center"/>
            </w:pPr>
          </w:p>
        </w:tc>
        <w:tc>
          <w:tcPr>
            <w:tcW w:w="720" w:type="dxa"/>
            <w:shd w:val="clear" w:color="auto" w:fill="auto"/>
          </w:tcPr>
          <w:p w:rsidR="00591CF9" w:rsidRPr="00EF5853" w:rsidRDefault="00591CF9" w:rsidP="008C7BA2">
            <w:pPr>
              <w:jc w:val="center"/>
            </w:pPr>
            <w:r>
              <w:t xml:space="preserve">d. </w:t>
            </w:r>
          </w:p>
        </w:tc>
        <w:tc>
          <w:tcPr>
            <w:tcW w:w="7110" w:type="dxa"/>
            <w:shd w:val="clear" w:color="auto" w:fill="auto"/>
          </w:tcPr>
          <w:p w:rsidR="00591CF9" w:rsidRPr="00EF5853" w:rsidRDefault="00591CF9" w:rsidP="00A223BF">
            <w:pPr>
              <w:jc w:val="both"/>
            </w:pPr>
            <w:r>
              <w:t>Airborne Trade.</w:t>
            </w:r>
          </w:p>
        </w:tc>
        <w:tc>
          <w:tcPr>
            <w:tcW w:w="1170" w:type="dxa"/>
            <w:vMerge/>
            <w:shd w:val="clear" w:color="auto" w:fill="auto"/>
            <w:vAlign w:val="center"/>
          </w:tcPr>
          <w:p w:rsidR="00591CF9" w:rsidRPr="00875196" w:rsidRDefault="00591CF9" w:rsidP="00383EFB">
            <w:pPr>
              <w:jc w:val="center"/>
              <w:rPr>
                <w:sz w:val="22"/>
                <w:szCs w:val="22"/>
              </w:rPr>
            </w:pPr>
          </w:p>
        </w:tc>
        <w:tc>
          <w:tcPr>
            <w:tcW w:w="950" w:type="dxa"/>
            <w:shd w:val="clear" w:color="auto" w:fill="auto"/>
            <w:vAlign w:val="center"/>
          </w:tcPr>
          <w:p w:rsidR="00591CF9" w:rsidRPr="005814FF" w:rsidRDefault="00591CF9" w:rsidP="00383EFB">
            <w:pPr>
              <w:jc w:val="center"/>
            </w:pPr>
            <w:r>
              <w:t>5</w:t>
            </w:r>
          </w:p>
        </w:tc>
      </w:tr>
      <w:tr w:rsidR="008F1591" w:rsidRPr="00EF5853" w:rsidTr="00383EFB">
        <w:trPr>
          <w:trHeight w:val="42"/>
        </w:trPr>
        <w:tc>
          <w:tcPr>
            <w:tcW w:w="10580" w:type="dxa"/>
            <w:gridSpan w:val="5"/>
            <w:shd w:val="clear" w:color="auto" w:fill="auto"/>
            <w:vAlign w:val="center"/>
          </w:tcPr>
          <w:p w:rsidR="008F1591" w:rsidRPr="005814FF" w:rsidRDefault="008F1591" w:rsidP="00383EFB">
            <w:pPr>
              <w:jc w:val="center"/>
            </w:pPr>
            <w:r w:rsidRPr="005814FF">
              <w:t>(OR)</w:t>
            </w:r>
          </w:p>
        </w:tc>
      </w:tr>
      <w:tr w:rsidR="008F1591" w:rsidRPr="00EF5853" w:rsidTr="00A223BF">
        <w:trPr>
          <w:trHeight w:val="42"/>
        </w:trPr>
        <w:tc>
          <w:tcPr>
            <w:tcW w:w="630" w:type="dxa"/>
            <w:shd w:val="clear" w:color="auto" w:fill="auto"/>
          </w:tcPr>
          <w:p w:rsidR="008F1591" w:rsidRPr="00EF5853" w:rsidRDefault="008F1591" w:rsidP="008C7BA2">
            <w:pPr>
              <w:jc w:val="center"/>
            </w:pPr>
            <w:r w:rsidRPr="00EF5853">
              <w:t>8.</w:t>
            </w:r>
          </w:p>
        </w:tc>
        <w:tc>
          <w:tcPr>
            <w:tcW w:w="720" w:type="dxa"/>
            <w:shd w:val="clear" w:color="auto" w:fill="auto"/>
          </w:tcPr>
          <w:p w:rsidR="008F1591" w:rsidRPr="00EF5853" w:rsidRDefault="008F1591" w:rsidP="008C7BA2">
            <w:pPr>
              <w:jc w:val="center"/>
            </w:pPr>
          </w:p>
        </w:tc>
        <w:tc>
          <w:tcPr>
            <w:tcW w:w="7110" w:type="dxa"/>
            <w:shd w:val="clear" w:color="auto" w:fill="auto"/>
          </w:tcPr>
          <w:p w:rsidR="008F1591" w:rsidRPr="00EF5853" w:rsidRDefault="00C22AFA" w:rsidP="00C22AFA">
            <w:pPr>
              <w:jc w:val="both"/>
            </w:pPr>
            <w:r>
              <w:t xml:space="preserve">Differentiate the characteristics of different modes of transportation in terms of </w:t>
            </w:r>
            <w:r w:rsidR="00BB7234">
              <w:t>facility</w:t>
            </w:r>
            <w:r>
              <w:t xml:space="preserve"> and relevant resources required.</w:t>
            </w:r>
          </w:p>
        </w:tc>
        <w:tc>
          <w:tcPr>
            <w:tcW w:w="1170" w:type="dxa"/>
            <w:shd w:val="clear" w:color="auto" w:fill="auto"/>
            <w:vAlign w:val="center"/>
          </w:tcPr>
          <w:p w:rsidR="008F1591" w:rsidRPr="00875196" w:rsidRDefault="00BB7234" w:rsidP="00BB7234">
            <w:pPr>
              <w:jc w:val="center"/>
              <w:rPr>
                <w:sz w:val="22"/>
                <w:szCs w:val="22"/>
              </w:rPr>
            </w:pPr>
            <w:r>
              <w:rPr>
                <w:sz w:val="22"/>
                <w:szCs w:val="22"/>
              </w:rPr>
              <w:t>CO1,</w:t>
            </w:r>
            <w:r w:rsidR="00B03262">
              <w:rPr>
                <w:sz w:val="22"/>
                <w:szCs w:val="22"/>
              </w:rPr>
              <w:t xml:space="preserve"> CO3</w:t>
            </w:r>
          </w:p>
        </w:tc>
        <w:tc>
          <w:tcPr>
            <w:tcW w:w="950" w:type="dxa"/>
            <w:shd w:val="clear" w:color="auto" w:fill="auto"/>
            <w:vAlign w:val="center"/>
          </w:tcPr>
          <w:p w:rsidR="008F1591" w:rsidRPr="005814FF" w:rsidRDefault="00C22AFA" w:rsidP="00383EFB">
            <w:pPr>
              <w:jc w:val="center"/>
            </w:pPr>
            <w:r>
              <w:t>20</w:t>
            </w:r>
          </w:p>
        </w:tc>
      </w:tr>
      <w:tr w:rsidR="008F1591" w:rsidRPr="00EF5853" w:rsidTr="00A223BF">
        <w:trPr>
          <w:trHeight w:val="42"/>
        </w:trPr>
        <w:tc>
          <w:tcPr>
            <w:tcW w:w="1350" w:type="dxa"/>
            <w:gridSpan w:val="2"/>
            <w:shd w:val="clear" w:color="auto" w:fill="auto"/>
          </w:tcPr>
          <w:p w:rsidR="008F1591" w:rsidRPr="00EF5853" w:rsidRDefault="008F1591" w:rsidP="008C7BA2">
            <w:pPr>
              <w:jc w:val="center"/>
            </w:pPr>
          </w:p>
        </w:tc>
        <w:tc>
          <w:tcPr>
            <w:tcW w:w="7110" w:type="dxa"/>
            <w:shd w:val="clear" w:color="auto" w:fill="auto"/>
          </w:tcPr>
          <w:p w:rsidR="008F1591" w:rsidRPr="008C7BA2" w:rsidRDefault="008F1591" w:rsidP="00193F27">
            <w:pPr>
              <w:rPr>
                <w:b/>
                <w:u w:val="single"/>
              </w:rPr>
            </w:pPr>
          </w:p>
        </w:tc>
        <w:tc>
          <w:tcPr>
            <w:tcW w:w="1170" w:type="dxa"/>
            <w:shd w:val="clear" w:color="auto" w:fill="auto"/>
            <w:vAlign w:val="center"/>
          </w:tcPr>
          <w:p w:rsidR="008F1591" w:rsidRPr="00875196" w:rsidRDefault="008F1591" w:rsidP="00383EFB">
            <w:pPr>
              <w:jc w:val="center"/>
              <w:rPr>
                <w:sz w:val="22"/>
                <w:szCs w:val="22"/>
              </w:rPr>
            </w:pPr>
          </w:p>
        </w:tc>
        <w:tc>
          <w:tcPr>
            <w:tcW w:w="950" w:type="dxa"/>
            <w:shd w:val="clear" w:color="auto" w:fill="auto"/>
            <w:vAlign w:val="center"/>
          </w:tcPr>
          <w:p w:rsidR="008F1591" w:rsidRPr="005814FF" w:rsidRDefault="008F1591" w:rsidP="00383EFB">
            <w:pPr>
              <w:jc w:val="center"/>
            </w:pPr>
          </w:p>
        </w:tc>
      </w:tr>
      <w:tr w:rsidR="008F1591" w:rsidRPr="00EF5853" w:rsidTr="00A223BF">
        <w:trPr>
          <w:trHeight w:val="42"/>
        </w:trPr>
        <w:tc>
          <w:tcPr>
            <w:tcW w:w="1350" w:type="dxa"/>
            <w:gridSpan w:val="2"/>
            <w:shd w:val="clear" w:color="auto" w:fill="auto"/>
          </w:tcPr>
          <w:p w:rsidR="008F1591" w:rsidRPr="00EF5853" w:rsidRDefault="00A223BF" w:rsidP="00A223BF">
            <w:r>
              <w:t xml:space="preserve">   9.</w:t>
            </w:r>
          </w:p>
        </w:tc>
        <w:tc>
          <w:tcPr>
            <w:tcW w:w="7110" w:type="dxa"/>
            <w:shd w:val="clear" w:color="auto" w:fill="auto"/>
          </w:tcPr>
          <w:p w:rsidR="008F1591" w:rsidRDefault="008F1591" w:rsidP="00CC2857">
            <w:pPr>
              <w:jc w:val="both"/>
              <w:rPr>
                <w:u w:val="single"/>
              </w:rPr>
            </w:pPr>
            <w:r w:rsidRPr="008C7BA2">
              <w:rPr>
                <w:b/>
                <w:u w:val="single"/>
              </w:rPr>
              <w:t>Compulsory</w:t>
            </w:r>
            <w:r w:rsidRPr="00875196">
              <w:rPr>
                <w:u w:val="single"/>
              </w:rPr>
              <w:t>:</w:t>
            </w:r>
          </w:p>
          <w:p w:rsidR="00CC2857" w:rsidRPr="005075C9" w:rsidRDefault="00CC2857" w:rsidP="00CC2857">
            <w:pPr>
              <w:shd w:val="clear" w:color="auto" w:fill="FFFFFF"/>
              <w:ind w:left="-12"/>
              <w:jc w:val="both"/>
              <w:outlineLvl w:val="0"/>
              <w:rPr>
                <w:b/>
                <w:kern w:val="36"/>
              </w:rPr>
            </w:pPr>
            <w:r w:rsidRPr="005075C9">
              <w:rPr>
                <w:b/>
                <w:kern w:val="36"/>
              </w:rPr>
              <w:t>Case Study - Maersk Line: Developing a ‘Future-Proofed’ Sustainability Strategy</w:t>
            </w:r>
          </w:p>
          <w:p w:rsidR="00CC2857" w:rsidRPr="005075C9" w:rsidRDefault="00CC2857" w:rsidP="00CC2857">
            <w:pPr>
              <w:pStyle w:val="Heading3"/>
              <w:shd w:val="clear" w:color="auto" w:fill="FFFFFF"/>
              <w:spacing w:before="0" w:line="240" w:lineRule="auto"/>
              <w:jc w:val="both"/>
              <w:rPr>
                <w:rFonts w:ascii="Times New Roman" w:hAnsi="Times New Roman" w:cs="Times New Roman"/>
                <w:bCs w:val="0"/>
                <w:color w:val="auto"/>
                <w:sz w:val="24"/>
                <w:szCs w:val="24"/>
              </w:rPr>
            </w:pPr>
            <w:r w:rsidRPr="005075C9">
              <w:rPr>
                <w:rFonts w:ascii="Times New Roman" w:hAnsi="Times New Roman" w:cs="Times New Roman"/>
                <w:bCs w:val="0"/>
                <w:color w:val="auto"/>
                <w:sz w:val="24"/>
                <w:szCs w:val="24"/>
              </w:rPr>
              <w:t>The Challenge</w:t>
            </w:r>
          </w:p>
          <w:p w:rsidR="00CC2857" w:rsidRPr="005075C9" w:rsidRDefault="00CC2857" w:rsidP="00CC2857">
            <w:pPr>
              <w:pStyle w:val="NormalWeb"/>
              <w:shd w:val="clear" w:color="auto" w:fill="FFFFFF"/>
              <w:spacing w:before="0" w:beforeAutospacing="0" w:after="0" w:afterAutospacing="0"/>
              <w:jc w:val="both"/>
            </w:pPr>
            <w:r w:rsidRPr="005075C9">
              <w:t>As the world’s largest container shipping company, Maersk Line transports more than 15 percent of all shipped containers. In an industry that transports more than a third of the value of global trade—and accounts for about 4 percent of the world’s carbon emissions—Maersk Line has a tremendous economic, social, and environmental footprint. Facing pressure to reduce the company’s environmental and social impacts, Maersk Line leaders viewed this challenge as an opportunity to offer customers a value proposition on sustainability that could not be matched by competitors. Company leaders asked BSR to help develop a “future-proofed” sustainability strategy.</w:t>
            </w:r>
          </w:p>
          <w:p w:rsidR="00CC2857" w:rsidRPr="005075C9" w:rsidRDefault="00CC2857" w:rsidP="00CC2857">
            <w:pPr>
              <w:pStyle w:val="Heading3"/>
              <w:shd w:val="clear" w:color="auto" w:fill="FFFFFF"/>
              <w:spacing w:before="0" w:line="240" w:lineRule="auto"/>
              <w:jc w:val="both"/>
              <w:rPr>
                <w:rFonts w:ascii="Times New Roman" w:hAnsi="Times New Roman" w:cs="Times New Roman"/>
                <w:bCs w:val="0"/>
                <w:color w:val="auto"/>
                <w:sz w:val="24"/>
                <w:szCs w:val="24"/>
              </w:rPr>
            </w:pPr>
            <w:r w:rsidRPr="005075C9">
              <w:rPr>
                <w:rFonts w:ascii="Times New Roman" w:hAnsi="Times New Roman" w:cs="Times New Roman"/>
                <w:bCs w:val="0"/>
                <w:color w:val="auto"/>
                <w:sz w:val="24"/>
                <w:szCs w:val="24"/>
              </w:rPr>
              <w:t>The Strategy</w:t>
            </w:r>
          </w:p>
          <w:p w:rsidR="00CC2857" w:rsidRPr="005075C9" w:rsidRDefault="00CC2857" w:rsidP="00CC2857">
            <w:pPr>
              <w:pStyle w:val="NormalWeb"/>
              <w:shd w:val="clear" w:color="auto" w:fill="FFFFFF"/>
              <w:spacing w:before="0" w:beforeAutospacing="0" w:after="0" w:afterAutospacing="0"/>
              <w:jc w:val="both"/>
            </w:pPr>
            <w:r w:rsidRPr="005075C9">
              <w:t xml:space="preserve">BSR and Maersk Line collaborated to build a comprehensive </w:t>
            </w:r>
            <w:r w:rsidRPr="005075C9">
              <w:lastRenderedPageBreak/>
              <w:t>sustainability approach that supports the corporate strategy and responds to long-term trends. Our work fell into three phases:</w:t>
            </w:r>
          </w:p>
          <w:p w:rsidR="00CC2857" w:rsidRPr="005075C9" w:rsidRDefault="00CC2857" w:rsidP="00CC2857">
            <w:pPr>
              <w:numPr>
                <w:ilvl w:val="0"/>
                <w:numId w:val="5"/>
              </w:numPr>
              <w:shd w:val="clear" w:color="auto" w:fill="FFFFFF"/>
              <w:jc w:val="both"/>
            </w:pPr>
            <w:r w:rsidRPr="005075C9">
              <w:rPr>
                <w:rStyle w:val="Strong"/>
              </w:rPr>
              <w:t>Internal Review and Current State</w:t>
            </w:r>
          </w:p>
          <w:p w:rsidR="00CC2857" w:rsidRPr="005075C9" w:rsidRDefault="00CC2857" w:rsidP="00CC2857">
            <w:pPr>
              <w:pStyle w:val="NormalWeb"/>
              <w:shd w:val="clear" w:color="auto" w:fill="FFFFFF"/>
              <w:spacing w:before="0" w:beforeAutospacing="0" w:after="0" w:afterAutospacing="0"/>
              <w:ind w:left="720"/>
              <w:jc w:val="both"/>
            </w:pPr>
            <w:r w:rsidRPr="005075C9">
              <w:t>Through interviews with executive management, regional leaders, and sustainability professionals, BSR gathered details about Maersk Line’s corporate objectives, strategy, business model, and existing sustainability efforts. This work clarified company strengths and weaknesses and defined key drivers for the company’s sustainability performance. We discovered that Maersk Line lacked a comprehensive approach to working on and communicating about sustainability, which made it difficult for company managers to establish a business case for new programs.</w:t>
            </w:r>
          </w:p>
          <w:p w:rsidR="00CC2857" w:rsidRPr="005075C9" w:rsidRDefault="00CC2857" w:rsidP="00CC2857">
            <w:pPr>
              <w:numPr>
                <w:ilvl w:val="0"/>
                <w:numId w:val="5"/>
              </w:numPr>
              <w:shd w:val="clear" w:color="auto" w:fill="FFFFFF"/>
              <w:jc w:val="both"/>
            </w:pPr>
            <w:r w:rsidRPr="005075C9">
              <w:rPr>
                <w:rStyle w:val="Strong"/>
              </w:rPr>
              <w:t>External Review and Future State</w:t>
            </w:r>
          </w:p>
          <w:p w:rsidR="00CC2857" w:rsidRPr="005075C9" w:rsidRDefault="00CC2857" w:rsidP="00CC2857">
            <w:pPr>
              <w:pStyle w:val="NormalWeb"/>
              <w:shd w:val="clear" w:color="auto" w:fill="FFFFFF"/>
              <w:spacing w:before="0" w:beforeAutospacing="0" w:after="0" w:afterAutospacing="0"/>
              <w:ind w:left="720"/>
              <w:jc w:val="both"/>
            </w:pPr>
            <w:r w:rsidRPr="005075C9">
              <w:t>Next, we built a set of future trends such as “hypertransparency,” regulated carbon, and resource constraints that business leaders would need to consider in strategic planning for the next seven to 10 years. We then tested these trends with employees and management teams to ensure a global perspective and identify specific regional challenges. Together with consultations with the company’s major customers and key industry stakeholders, this input helped company leaders articulate the near-term changes in the business environment, including the direction of key customers’ expectations.</w:t>
            </w:r>
          </w:p>
          <w:p w:rsidR="00CC2857" w:rsidRPr="005075C9" w:rsidRDefault="00CC2857" w:rsidP="00CC2857">
            <w:pPr>
              <w:numPr>
                <w:ilvl w:val="0"/>
                <w:numId w:val="5"/>
              </w:numPr>
              <w:shd w:val="clear" w:color="auto" w:fill="FFFFFF"/>
              <w:jc w:val="both"/>
            </w:pPr>
            <w:r w:rsidRPr="005075C9">
              <w:rPr>
                <w:rStyle w:val="Strong"/>
              </w:rPr>
              <w:t>Build Vision and Strategy</w:t>
            </w:r>
          </w:p>
          <w:p w:rsidR="00CC2857" w:rsidRPr="005075C9" w:rsidRDefault="00CC2857" w:rsidP="00CC2857">
            <w:pPr>
              <w:pStyle w:val="NormalWeb"/>
              <w:shd w:val="clear" w:color="auto" w:fill="FFFFFF"/>
              <w:spacing w:before="0" w:beforeAutospacing="0" w:after="0" w:afterAutospacing="0"/>
              <w:ind w:left="720"/>
              <w:jc w:val="both"/>
            </w:pPr>
            <w:r w:rsidRPr="005075C9">
              <w:t>BSR helped Maersk Line define a strong sustainability vision supported by objectives such as reducing carbon-dioxide emissions by 25 percent by 2020 and striving for zero sulfur-dioxide emissions. This strategy will raise the bar for sustainability in the industry. BSR also helped Maersk Line develop objectives, strategies, and key performance indicators to guide the company’s future work in the core areas of environment, social responsibility, health and safety, security, and business ethics. In what is a first for this industry, Maersk Line integrated sustainability into its customer value proposition, underlining the idea that sustainability strengthens the company’s competitive edge and serves as a means of market differentiation.</w:t>
            </w:r>
          </w:p>
          <w:p w:rsidR="00CC2857" w:rsidRPr="005075C9" w:rsidRDefault="00CC2857" w:rsidP="00CC2857">
            <w:pPr>
              <w:pStyle w:val="Heading3"/>
              <w:shd w:val="clear" w:color="auto" w:fill="FFFFFF"/>
              <w:spacing w:before="0" w:line="240" w:lineRule="auto"/>
              <w:jc w:val="both"/>
              <w:rPr>
                <w:rFonts w:ascii="Times New Roman" w:hAnsi="Times New Roman" w:cs="Times New Roman"/>
                <w:bCs w:val="0"/>
                <w:color w:val="auto"/>
                <w:sz w:val="24"/>
                <w:szCs w:val="24"/>
              </w:rPr>
            </w:pPr>
            <w:r>
              <w:rPr>
                <w:rFonts w:ascii="Times New Roman" w:hAnsi="Times New Roman" w:cs="Times New Roman"/>
                <w:bCs w:val="0"/>
                <w:color w:val="auto"/>
                <w:sz w:val="24"/>
                <w:szCs w:val="24"/>
              </w:rPr>
              <w:t>The</w:t>
            </w:r>
            <w:r w:rsidRPr="005075C9">
              <w:rPr>
                <w:rFonts w:ascii="Times New Roman" w:hAnsi="Times New Roman" w:cs="Times New Roman"/>
                <w:bCs w:val="0"/>
                <w:color w:val="auto"/>
                <w:sz w:val="24"/>
                <w:szCs w:val="24"/>
              </w:rPr>
              <w:t xml:space="preserve"> Impact</w:t>
            </w:r>
          </w:p>
          <w:p w:rsidR="007E41CB" w:rsidRPr="00875196" w:rsidRDefault="00CC2857" w:rsidP="00CC2857">
            <w:pPr>
              <w:jc w:val="both"/>
              <w:rPr>
                <w:u w:val="single"/>
              </w:rPr>
            </w:pPr>
            <w:r w:rsidRPr="005075C9">
              <w:t>BSR’s work has helped give Maersk Line a new, comprehensive direction for sustainability—and the company has reaped positive results from this course. In 2010, the management team declared that environmental sustainability would be one of the company’s top three future differentiators. In September 2010, company leaders announced that Maersk Line would switch to low-sulfur fuel when calling port in Hong Kong, thus contributing to an 80 to 95 percent reduction of local sulfur-dioxide emissions that have a damaging impact on port communities’ health. In part because of these efforts, in November 2010, the company received the European Business Award for Environmental Awareness for integrating sustainability into its business strategy and operations.</w:t>
            </w:r>
          </w:p>
        </w:tc>
        <w:tc>
          <w:tcPr>
            <w:tcW w:w="1170" w:type="dxa"/>
            <w:shd w:val="clear" w:color="auto" w:fill="auto"/>
            <w:vAlign w:val="center"/>
          </w:tcPr>
          <w:p w:rsidR="008F1591" w:rsidRPr="00875196" w:rsidRDefault="00B03262" w:rsidP="00383EFB">
            <w:pPr>
              <w:jc w:val="center"/>
              <w:rPr>
                <w:sz w:val="22"/>
                <w:szCs w:val="22"/>
              </w:rPr>
            </w:pPr>
            <w:r>
              <w:rPr>
                <w:sz w:val="22"/>
                <w:szCs w:val="22"/>
              </w:rPr>
              <w:lastRenderedPageBreak/>
              <w:t>CO3</w:t>
            </w:r>
          </w:p>
        </w:tc>
        <w:tc>
          <w:tcPr>
            <w:tcW w:w="950" w:type="dxa"/>
            <w:shd w:val="clear" w:color="auto" w:fill="auto"/>
            <w:vAlign w:val="center"/>
          </w:tcPr>
          <w:p w:rsidR="008F1591" w:rsidRPr="005814FF" w:rsidRDefault="008F1591" w:rsidP="00383EFB">
            <w:pPr>
              <w:jc w:val="center"/>
            </w:pPr>
          </w:p>
        </w:tc>
      </w:tr>
      <w:tr w:rsidR="008F1591" w:rsidRPr="00EF5853" w:rsidTr="00A223BF">
        <w:trPr>
          <w:trHeight w:val="42"/>
        </w:trPr>
        <w:tc>
          <w:tcPr>
            <w:tcW w:w="630" w:type="dxa"/>
            <w:shd w:val="clear" w:color="auto" w:fill="auto"/>
          </w:tcPr>
          <w:p w:rsidR="008F1591" w:rsidRPr="00EF5853" w:rsidRDefault="008F1591" w:rsidP="008C7BA2">
            <w:pPr>
              <w:jc w:val="center"/>
            </w:pPr>
            <w:r w:rsidRPr="00EF5853">
              <w:lastRenderedPageBreak/>
              <w:t>9.</w:t>
            </w:r>
          </w:p>
        </w:tc>
        <w:tc>
          <w:tcPr>
            <w:tcW w:w="720" w:type="dxa"/>
            <w:shd w:val="clear" w:color="auto" w:fill="auto"/>
          </w:tcPr>
          <w:p w:rsidR="008F1591" w:rsidRPr="00EF5853" w:rsidRDefault="008F1591" w:rsidP="008C7BA2">
            <w:pPr>
              <w:jc w:val="center"/>
            </w:pPr>
            <w:r w:rsidRPr="00EF5853">
              <w:t>a.</w:t>
            </w:r>
          </w:p>
        </w:tc>
        <w:tc>
          <w:tcPr>
            <w:tcW w:w="7110" w:type="dxa"/>
            <w:shd w:val="clear" w:color="auto" w:fill="auto"/>
          </w:tcPr>
          <w:p w:rsidR="008F1591" w:rsidRPr="00EF5853" w:rsidRDefault="00D4299E" w:rsidP="00CC5349">
            <w:r>
              <w:t xml:space="preserve">What </w:t>
            </w:r>
            <w:r w:rsidR="00CC5349">
              <w:t xml:space="preserve">are </w:t>
            </w:r>
            <w:r>
              <w:t>the underlying problem</w:t>
            </w:r>
            <w:r w:rsidR="00CC5349">
              <w:t>s</w:t>
            </w:r>
            <w:r>
              <w:t xml:space="preserve"> dealt in the above case?</w:t>
            </w:r>
          </w:p>
        </w:tc>
        <w:tc>
          <w:tcPr>
            <w:tcW w:w="1170" w:type="dxa"/>
            <w:shd w:val="clear" w:color="auto" w:fill="auto"/>
            <w:vAlign w:val="center"/>
          </w:tcPr>
          <w:p w:rsidR="008F1591" w:rsidRPr="00875196" w:rsidRDefault="008F1591" w:rsidP="00383EFB">
            <w:pPr>
              <w:jc w:val="center"/>
              <w:rPr>
                <w:sz w:val="22"/>
                <w:szCs w:val="22"/>
              </w:rPr>
            </w:pPr>
          </w:p>
        </w:tc>
        <w:tc>
          <w:tcPr>
            <w:tcW w:w="950" w:type="dxa"/>
            <w:shd w:val="clear" w:color="auto" w:fill="auto"/>
            <w:vAlign w:val="center"/>
          </w:tcPr>
          <w:p w:rsidR="008F1591" w:rsidRPr="005814FF" w:rsidRDefault="00D4299E" w:rsidP="00383EFB">
            <w:pPr>
              <w:jc w:val="center"/>
            </w:pPr>
            <w:r>
              <w:t>10</w:t>
            </w:r>
          </w:p>
        </w:tc>
      </w:tr>
      <w:tr w:rsidR="008F1591" w:rsidRPr="00EF5853" w:rsidTr="00A223BF">
        <w:trPr>
          <w:trHeight w:val="42"/>
        </w:trPr>
        <w:tc>
          <w:tcPr>
            <w:tcW w:w="630" w:type="dxa"/>
            <w:shd w:val="clear" w:color="auto" w:fill="auto"/>
          </w:tcPr>
          <w:p w:rsidR="008F1591" w:rsidRPr="00EF5853" w:rsidRDefault="008F1591" w:rsidP="008C7BA2">
            <w:pPr>
              <w:jc w:val="center"/>
            </w:pPr>
          </w:p>
        </w:tc>
        <w:tc>
          <w:tcPr>
            <w:tcW w:w="720" w:type="dxa"/>
            <w:shd w:val="clear" w:color="auto" w:fill="auto"/>
          </w:tcPr>
          <w:p w:rsidR="008F1591" w:rsidRPr="00EF5853" w:rsidRDefault="008F1591" w:rsidP="008C7BA2">
            <w:pPr>
              <w:jc w:val="center"/>
            </w:pPr>
            <w:r w:rsidRPr="00EF5853">
              <w:t>b.</w:t>
            </w:r>
          </w:p>
        </w:tc>
        <w:tc>
          <w:tcPr>
            <w:tcW w:w="7110" w:type="dxa"/>
            <w:shd w:val="clear" w:color="auto" w:fill="auto"/>
          </w:tcPr>
          <w:p w:rsidR="008F1591" w:rsidRPr="00EF5853" w:rsidRDefault="00C13AF6" w:rsidP="00DB4D18">
            <w:pPr>
              <w:jc w:val="both"/>
            </w:pPr>
            <w:r>
              <w:t xml:space="preserve">How </w:t>
            </w:r>
            <w:r w:rsidR="00DB4D18">
              <w:t>Maersk</w:t>
            </w:r>
            <w:r>
              <w:t xml:space="preserve"> overc</w:t>
            </w:r>
            <w:r w:rsidR="00CC5349">
              <w:t>a</w:t>
            </w:r>
            <w:r>
              <w:t xml:space="preserve">me the </w:t>
            </w:r>
            <w:r w:rsidR="00CC5349">
              <w:t xml:space="preserve">given </w:t>
            </w:r>
            <w:r>
              <w:t>problem and achieved their desired result?</w:t>
            </w:r>
          </w:p>
        </w:tc>
        <w:tc>
          <w:tcPr>
            <w:tcW w:w="1170" w:type="dxa"/>
            <w:shd w:val="clear" w:color="auto" w:fill="auto"/>
            <w:vAlign w:val="center"/>
          </w:tcPr>
          <w:p w:rsidR="008F1591" w:rsidRPr="00875196" w:rsidRDefault="008F1591" w:rsidP="00383EFB">
            <w:pPr>
              <w:jc w:val="center"/>
              <w:rPr>
                <w:sz w:val="22"/>
                <w:szCs w:val="22"/>
              </w:rPr>
            </w:pPr>
          </w:p>
        </w:tc>
        <w:tc>
          <w:tcPr>
            <w:tcW w:w="950" w:type="dxa"/>
            <w:shd w:val="clear" w:color="auto" w:fill="auto"/>
            <w:vAlign w:val="center"/>
          </w:tcPr>
          <w:p w:rsidR="008F1591" w:rsidRPr="005814FF" w:rsidRDefault="00C13AF6" w:rsidP="00383EFB">
            <w:pPr>
              <w:jc w:val="center"/>
            </w:pPr>
            <w:r>
              <w:t>10</w:t>
            </w:r>
          </w:p>
        </w:tc>
      </w:tr>
    </w:tbl>
    <w:p w:rsidR="008C7BA2" w:rsidRDefault="008C7BA2" w:rsidP="008C7BA2"/>
    <w:p w:rsidR="008C7BA2" w:rsidRDefault="008C7BA2" w:rsidP="008C7BA2">
      <w:pPr>
        <w:jc w:val="center"/>
      </w:pPr>
    </w:p>
    <w:p w:rsidR="008C7BA2" w:rsidRPr="001F7E9B" w:rsidRDefault="008C7BA2" w:rsidP="008C7BA2">
      <w:pPr>
        <w:ind w:left="720"/>
      </w:pPr>
    </w:p>
    <w:p w:rsidR="008C7BA2" w:rsidRDefault="008C7BA2" w:rsidP="008C7BA2"/>
    <w:sectPr w:rsidR="008C7BA2" w:rsidSect="00A223BF">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DBD46AA"/>
    <w:multiLevelType w:val="multilevel"/>
    <w:tmpl w:val="7890A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E180A"/>
    <w:rsid w:val="000E4455"/>
    <w:rsid w:val="000F3EFE"/>
    <w:rsid w:val="00165267"/>
    <w:rsid w:val="001D41FE"/>
    <w:rsid w:val="001D670F"/>
    <w:rsid w:val="001E2222"/>
    <w:rsid w:val="001F54D1"/>
    <w:rsid w:val="001F7E9B"/>
    <w:rsid w:val="00204EB0"/>
    <w:rsid w:val="00211ABA"/>
    <w:rsid w:val="00235351"/>
    <w:rsid w:val="00253378"/>
    <w:rsid w:val="00266439"/>
    <w:rsid w:val="0026653D"/>
    <w:rsid w:val="002D09FF"/>
    <w:rsid w:val="002D7611"/>
    <w:rsid w:val="002D76BB"/>
    <w:rsid w:val="002E336A"/>
    <w:rsid w:val="002E552A"/>
    <w:rsid w:val="00304757"/>
    <w:rsid w:val="003206DF"/>
    <w:rsid w:val="00323989"/>
    <w:rsid w:val="00324247"/>
    <w:rsid w:val="00380146"/>
    <w:rsid w:val="00383EFB"/>
    <w:rsid w:val="003855F1"/>
    <w:rsid w:val="003A247F"/>
    <w:rsid w:val="003B14BC"/>
    <w:rsid w:val="003B1F06"/>
    <w:rsid w:val="003C6BB4"/>
    <w:rsid w:val="003D6DA3"/>
    <w:rsid w:val="003F728C"/>
    <w:rsid w:val="004364AD"/>
    <w:rsid w:val="00450BA0"/>
    <w:rsid w:val="00460118"/>
    <w:rsid w:val="0046314C"/>
    <w:rsid w:val="0046787F"/>
    <w:rsid w:val="004C298B"/>
    <w:rsid w:val="004F787A"/>
    <w:rsid w:val="00501F18"/>
    <w:rsid w:val="0050571C"/>
    <w:rsid w:val="005133D7"/>
    <w:rsid w:val="005527A4"/>
    <w:rsid w:val="00552CF0"/>
    <w:rsid w:val="00580E15"/>
    <w:rsid w:val="005814FF"/>
    <w:rsid w:val="00581B1F"/>
    <w:rsid w:val="00591CF9"/>
    <w:rsid w:val="00595456"/>
    <w:rsid w:val="0059663E"/>
    <w:rsid w:val="005D0F4A"/>
    <w:rsid w:val="005D3355"/>
    <w:rsid w:val="005F011C"/>
    <w:rsid w:val="0062605C"/>
    <w:rsid w:val="0064710A"/>
    <w:rsid w:val="00670A67"/>
    <w:rsid w:val="00681B25"/>
    <w:rsid w:val="006C1D35"/>
    <w:rsid w:val="006C39BE"/>
    <w:rsid w:val="006C7354"/>
    <w:rsid w:val="007059D2"/>
    <w:rsid w:val="00714C68"/>
    <w:rsid w:val="00725A0A"/>
    <w:rsid w:val="007326F6"/>
    <w:rsid w:val="00734AAA"/>
    <w:rsid w:val="007E41CB"/>
    <w:rsid w:val="00802202"/>
    <w:rsid w:val="00806A39"/>
    <w:rsid w:val="00814615"/>
    <w:rsid w:val="0081627E"/>
    <w:rsid w:val="00875196"/>
    <w:rsid w:val="0088784C"/>
    <w:rsid w:val="008A56BE"/>
    <w:rsid w:val="008A6193"/>
    <w:rsid w:val="008B0703"/>
    <w:rsid w:val="008C7BA2"/>
    <w:rsid w:val="008F1591"/>
    <w:rsid w:val="008F78F2"/>
    <w:rsid w:val="0090362A"/>
    <w:rsid w:val="00904D12"/>
    <w:rsid w:val="00911266"/>
    <w:rsid w:val="00942884"/>
    <w:rsid w:val="00946122"/>
    <w:rsid w:val="0095679B"/>
    <w:rsid w:val="00963CB5"/>
    <w:rsid w:val="00996E02"/>
    <w:rsid w:val="009B53DD"/>
    <w:rsid w:val="009C5A1D"/>
    <w:rsid w:val="009E09A3"/>
    <w:rsid w:val="00A15071"/>
    <w:rsid w:val="00A16CB9"/>
    <w:rsid w:val="00A223BF"/>
    <w:rsid w:val="00A44491"/>
    <w:rsid w:val="00A47E2A"/>
    <w:rsid w:val="00A51923"/>
    <w:rsid w:val="00A8730C"/>
    <w:rsid w:val="00AA3F2E"/>
    <w:rsid w:val="00AA5E39"/>
    <w:rsid w:val="00AA6B40"/>
    <w:rsid w:val="00AE264C"/>
    <w:rsid w:val="00AF1A76"/>
    <w:rsid w:val="00B009B1"/>
    <w:rsid w:val="00B03262"/>
    <w:rsid w:val="00B20598"/>
    <w:rsid w:val="00B253AE"/>
    <w:rsid w:val="00B36A41"/>
    <w:rsid w:val="00B375FC"/>
    <w:rsid w:val="00B60E7E"/>
    <w:rsid w:val="00B83AB6"/>
    <w:rsid w:val="00B868E8"/>
    <w:rsid w:val="00B939EF"/>
    <w:rsid w:val="00BA2F7E"/>
    <w:rsid w:val="00BA539E"/>
    <w:rsid w:val="00BB5C6B"/>
    <w:rsid w:val="00BB7234"/>
    <w:rsid w:val="00BC7D01"/>
    <w:rsid w:val="00BE572D"/>
    <w:rsid w:val="00BF25ED"/>
    <w:rsid w:val="00BF2F27"/>
    <w:rsid w:val="00BF3DE7"/>
    <w:rsid w:val="00BF6A24"/>
    <w:rsid w:val="00C13AF6"/>
    <w:rsid w:val="00C22AFA"/>
    <w:rsid w:val="00C33FFF"/>
    <w:rsid w:val="00C3743D"/>
    <w:rsid w:val="00C60C6A"/>
    <w:rsid w:val="00C71847"/>
    <w:rsid w:val="00C81140"/>
    <w:rsid w:val="00C95F18"/>
    <w:rsid w:val="00CB2395"/>
    <w:rsid w:val="00CB7A50"/>
    <w:rsid w:val="00CC2857"/>
    <w:rsid w:val="00CC5349"/>
    <w:rsid w:val="00CD31A5"/>
    <w:rsid w:val="00CE1825"/>
    <w:rsid w:val="00CE5503"/>
    <w:rsid w:val="00D0319F"/>
    <w:rsid w:val="00D3698C"/>
    <w:rsid w:val="00D4299E"/>
    <w:rsid w:val="00D62341"/>
    <w:rsid w:val="00D64FF9"/>
    <w:rsid w:val="00D805C4"/>
    <w:rsid w:val="00D85619"/>
    <w:rsid w:val="00D94D54"/>
    <w:rsid w:val="00DB38C1"/>
    <w:rsid w:val="00DB4D18"/>
    <w:rsid w:val="00DD5DE2"/>
    <w:rsid w:val="00DE0497"/>
    <w:rsid w:val="00DF78EA"/>
    <w:rsid w:val="00E02294"/>
    <w:rsid w:val="00E3122E"/>
    <w:rsid w:val="00E44059"/>
    <w:rsid w:val="00E54572"/>
    <w:rsid w:val="00E5735F"/>
    <w:rsid w:val="00E577A9"/>
    <w:rsid w:val="00E646AB"/>
    <w:rsid w:val="00E65088"/>
    <w:rsid w:val="00E70A47"/>
    <w:rsid w:val="00E824B7"/>
    <w:rsid w:val="00EB0EE0"/>
    <w:rsid w:val="00EB26EF"/>
    <w:rsid w:val="00EC6397"/>
    <w:rsid w:val="00ED49CE"/>
    <w:rsid w:val="00F11EDB"/>
    <w:rsid w:val="00F12F38"/>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paragraph" w:styleId="Heading3">
    <w:name w:val="heading 3"/>
    <w:basedOn w:val="Normal"/>
    <w:next w:val="Normal"/>
    <w:link w:val="Heading3Char"/>
    <w:uiPriority w:val="9"/>
    <w:semiHidden/>
    <w:unhideWhenUsed/>
    <w:qFormat/>
    <w:rsid w:val="00CC2857"/>
    <w:pPr>
      <w:keepNext/>
      <w:keepLines/>
      <w:spacing w:before="200" w:line="276" w:lineRule="auto"/>
      <w:outlineLvl w:val="2"/>
    </w:pPr>
    <w:rPr>
      <w:rFonts w:asciiTheme="majorHAnsi" w:eastAsiaTheme="majorEastAsia" w:hAnsiTheme="majorHAnsi" w:cstheme="majorBidi"/>
      <w:b/>
      <w:bCs/>
      <w:color w:val="4F81BD"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character" w:customStyle="1" w:styleId="Heading3Char">
    <w:name w:val="Heading 3 Char"/>
    <w:basedOn w:val="DefaultParagraphFont"/>
    <w:link w:val="Heading3"/>
    <w:uiPriority w:val="9"/>
    <w:semiHidden/>
    <w:rsid w:val="00CC2857"/>
    <w:rPr>
      <w:rFonts w:asciiTheme="majorHAnsi" w:eastAsiaTheme="majorEastAsia" w:hAnsiTheme="majorHAnsi" w:cstheme="majorBidi"/>
      <w:b/>
      <w:bCs/>
      <w:color w:val="4F81BD" w:themeColor="accent1"/>
      <w:sz w:val="22"/>
      <w:szCs w:val="22"/>
      <w:lang w:bidi="ar-SA"/>
    </w:rPr>
  </w:style>
  <w:style w:type="paragraph" w:styleId="NormalWeb">
    <w:name w:val="Normal (Web)"/>
    <w:basedOn w:val="Normal"/>
    <w:uiPriority w:val="99"/>
    <w:semiHidden/>
    <w:unhideWhenUsed/>
    <w:rsid w:val="00CC2857"/>
    <w:pPr>
      <w:spacing w:before="100" w:beforeAutospacing="1" w:after="100" w:afterAutospacing="1"/>
    </w:pPr>
  </w:style>
  <w:style w:type="character" w:styleId="Strong">
    <w:name w:val="Strong"/>
    <w:basedOn w:val="DefaultParagraphFont"/>
    <w:uiPriority w:val="22"/>
    <w:qFormat/>
    <w:rsid w:val="00CC2857"/>
    <w:rPr>
      <w:b/>
      <w:bCs/>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F9ADF-0708-4684-A965-033D58C6E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3</Pages>
  <Words>777</Words>
  <Characters>4435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61</cp:revision>
  <cp:lastPrinted>2018-11-24T07:10:00Z</cp:lastPrinted>
  <dcterms:created xsi:type="dcterms:W3CDTF">2018-02-03T03:39:00Z</dcterms:created>
  <dcterms:modified xsi:type="dcterms:W3CDTF">2018-11-24T07:10:00Z</dcterms:modified>
</cp:coreProperties>
</file>